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Elsesser Kathy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COMMERCE STREET, SUITE 3300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TPG Inc.</w:t>
              </w:r>
            </w:hyperlink>
            <w:r>
              <w:rPr/>
              <w:t xml:space="preserve"> [ </w:t>
            </w:r>
            <w:r>
              <w:rPr>
                <w:rFonts w:ascii="Times;serif" w:hAnsi="Times;serif"/>
                <w:color w:val="0000FF"/>
                <w:sz w:val="24"/>
                <w:shd w:fill="FFFFFF" w:val="clear"/>
              </w:rPr>
              <w:t>TPG</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4,181</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12,693</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annual award of restricted stock units ("RSUs"). Each RSU represents a contingent right to receive one share of Class A common stock of TPG Inc. (the "Issuer"). The Issuer has granted the RSUs pursuant to its Independent Director Compensation Policy. The RSUs will vest on the first anniversary of the grant date, subject to the Reporting Person's continuous service through the vesting date; provided that if the Reporting Person serves through the Issuer's next annual meeting of shareholders occurring after the date of grant, the Reporting Person will be entitled to retain the 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Jennifer Chu is signing on behalf of Ms. Elsesser pursuant to the power of attorney dated August 16, 2025, which is attached hereto as an exhibit.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L. Chu, as attorney-in-fact (2)</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ss6596361_ex24.htm"/>
      <w:bookmarkStart w:id="3" w:name="ksss6596361_ex24"/>
      <w:bookmarkEnd w:id="2"/>
      <w:bookmarkEnd w:id="3"/>
      <w:r>
        <w:rPr/>
        <w:t> </w:t>
      </w:r>
      <w:r>
        <w:br w:type="page"/>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24.1</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POWER OF ATTORNEY</w:t>
      </w:r>
      <w:r>
        <w:rPr>
          <w:rFonts w:ascii="Times New Roman;Times;Serif" w:hAnsi="Times New Roman;Times;Serif"/>
          <w:b w:val="false"/>
          <w:i w:val="false"/>
          <w:caps w:val="false"/>
          <w:smallCaps w:val="false"/>
          <w:sz w:val="20"/>
        </w:rPr>
        <w:t>  </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the undersigned hereby constitutes and appoints Jennifer L. Chu, Joann Harris and Anilu Vazquez-Ubarri to be his or her true and lawful attorney-in-fact and agent to execute and file for and on behalf of the undersigned (i) any reports on Forms 3, 4, 5 and, if applicable, 144 (including any amendments thereto and any successors to such Forms) with respect to ownership of securities of TPG Inc. (the “Company”) that the undersigned may be required to file with the Securities and Exchange Commission in accordance with Section 16(a) of the Securities Exchange Act of 1934 and the rules thereunder and/or Rule 144 under the Securities Act of 1933, and (ii) as necessary, any other documents necessary or appropriate to obtain codes and passwords enabling the undersigned to file such reports electronically.</w:t>
      </w:r>
    </w:p>
    <w:p>
      <w:pPr>
        <w:pStyle w:val="TextBody"/>
        <w:bidi w:val="0"/>
        <w:jc w:val="left"/>
        <w:rPr>
          <w:caps w:val="false"/>
          <w:smallCaps w:val="false"/>
        </w:rPr>
      </w:pPr>
      <w:r>
        <w:rPr>
          <w:caps w:val="false"/>
          <w:smallCaps w:val="false"/>
        </w:rPr>
        <w:t> </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and/or Rule 144 under the Securities Act of 1933.</w:t>
      </w:r>
    </w:p>
    <w:p>
      <w:pPr>
        <w:pStyle w:val="TextBody"/>
        <w:bidi w:val="0"/>
        <w:jc w:val="left"/>
        <w:rPr>
          <w:caps w:val="false"/>
          <w:smallCaps w:val="false"/>
        </w:rPr>
      </w:pPr>
      <w:r>
        <w:rPr>
          <w:caps w:val="false"/>
          <w:smallCaps w:val="false"/>
        </w:rPr>
        <w:t> </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5 and, if applicable, 144 with respect to the undersigned's holdings and transactions in securities issued by the Company, unless earlier revoked by the undersigned in a signed writing delivered to the foregoing attorney-in-fact. This Power of Attorney also serves to revoke and replace as of the date hereof, any prior Power of Attorney executed by the undersigned with respect to the ownership of securities of the Company.</w:t>
      </w:r>
    </w:p>
    <w:p>
      <w:pPr>
        <w:pStyle w:val="TextBody"/>
        <w:bidi w:val="0"/>
        <w:jc w:val="left"/>
        <w:rPr>
          <w:caps w:val="false"/>
          <w:smallCaps w:val="false"/>
        </w:rPr>
      </w:pPr>
      <w:r>
        <w:rPr>
          <w:caps w:val="false"/>
          <w:smallCaps w:val="false"/>
        </w:rPr>
        <w:t> </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August 16, 2025.</w:t>
      </w:r>
    </w:p>
    <w:tbl>
      <w:tblPr>
        <w:tblW w:w="1910" w:type="dxa"/>
        <w:jc w:val="left"/>
        <w:tblInd w:w="0" w:type="dxa"/>
        <w:tblLayout w:type="fixed"/>
        <w:tblCellMar>
          <w:top w:w="0" w:type="dxa"/>
          <w:left w:w="0" w:type="dxa"/>
          <w:bottom w:w="0" w:type="dxa"/>
          <w:right w:w="0" w:type="dxa"/>
        </w:tblCellMar>
      </w:tblPr>
      <w:tblGrid>
        <w:gridCol w:w="75"/>
        <w:gridCol w:w="18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Kathy Elsesser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Kathy Elsesser</w:t>
            </w:r>
          </w:p>
        </w:tc>
      </w:tr>
    </w:tbl>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20" w:after="20"/>
        <w:jc w:val="left"/>
        <w:rPr>
          <w:bdr w:val="single" w:sz="16" w:space="1" w:color="000000"/>
        </w:rPr>
      </w:pPr>
      <w:r>
        <w:rPr>
          <w:bdr w:val="single" w:sz="16" w:space="1" w:color="000000"/>
        </w:rPr>
        <w:t> </w:t>
      </w:r>
    </w:p>
    <w:p>
      <w:pPr>
        <w:pStyle w:val="TextBody"/>
        <w:bidi w:val="0"/>
        <w:spacing w:before="0" w:after="24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289" TargetMode="External"/><Relationship Id="rId5" Type="http://schemas.openxmlformats.org/officeDocument/2006/relationships/hyperlink" Target="http://www.sec.gov/cgi-bin/browse-edgar?action=getcompany&amp;CIK=000188066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999</Words>
  <Characters>5281</Characters>
  <CharactersWithSpaces>6230</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