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001-41222</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7361" w:type="dxa"/>
        <w:jc w:val="center"/>
        <w:tblInd w:w="0" w:type="dxa"/>
        <w:tblLayout w:type="fixed"/>
        <w:tblCellMar>
          <w:top w:w="28" w:type="dxa"/>
          <w:left w:w="28" w:type="dxa"/>
          <w:bottom w:w="28" w:type="dxa"/>
          <w:right w:w="28" w:type="dxa"/>
        </w:tblCellMar>
      </w:tblPr>
      <w:tblGrid>
        <w:gridCol w:w="794"/>
        <w:gridCol w:w="701"/>
        <w:gridCol w:w="701"/>
        <w:gridCol w:w="701"/>
        <w:gridCol w:w="701"/>
        <w:gridCol w:w="721"/>
        <w:gridCol w:w="109"/>
        <w:gridCol w:w="109"/>
        <w:gridCol w:w="109"/>
        <w:gridCol w:w="791"/>
        <w:gridCol w:w="791"/>
        <w:gridCol w:w="1133"/>
      </w:tblGrid>
      <w:tr>
        <w:trPr/>
        <w:tc>
          <w:tcPr>
            <w:tcW w:w="79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87-2063362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301 Commerce Street, </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Suite 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76102</w:t>
            </w:r>
          </w:p>
        </w:tc>
      </w:tr>
      <w:tr>
        <w:trPr/>
        <w:tc>
          <w:tcPr>
            <w:tcW w:w="21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Fort Worth, </w:t>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TX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(817) 871-4000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17" w:type="dxa"/>
        <w:jc w:val="left"/>
        <w:tblInd w:w="0" w:type="dxa"/>
        <w:tblLayout w:type="fixed"/>
        <w:tblCellMar>
          <w:top w:w="28" w:type="dxa"/>
          <w:left w:w="28" w:type="dxa"/>
          <w:bottom w:w="28" w:type="dxa"/>
          <w:right w:w="28" w:type="dxa"/>
        </w:tblCellMar>
      </w:tblPr>
      <w:tblGrid>
        <w:gridCol w:w="1041"/>
        <w:gridCol w:w="916"/>
        <w:gridCol w:w="922"/>
        <w:gridCol w:w="519"/>
        <w:gridCol w:w="519"/>
        <w:gridCol w:w="521"/>
        <w:gridCol w:w="1019"/>
        <w:gridCol w:w="1019"/>
        <w:gridCol w:w="1441"/>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8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TPG</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28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6.950% Subordinated Notes due 2064 </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TPGXL</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10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p>
    <w:p>
      <w:pPr>
        <w:pStyle w:val="TextBody"/>
        <w:bidi w:val="0"/>
        <w:spacing w:lineRule="auto" w:line="288" w:before="10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20"/>
        </w:rPr>
        <w:t>x</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As of July 31, 2026, there were 160,109,058 shares of the registrant’s Class A common stock, 6,605,963 shares of the registrant’s nonvoting Class A common stock and 217,809,708 shares of the registrant’s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6840"/>
                <wp:effectExtent l="0" t="0" r="0" b="0"/>
                <wp:wrapNone/>
                <wp:docPr id="1"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5"/>
        <w:gridCol w:w="374"/>
        <w:gridCol w:w="374"/>
        <w:gridCol w:w="2864"/>
        <w:gridCol w:w="2805"/>
        <w:gridCol w:w="2788"/>
        <w:gridCol w:w="167"/>
        <w:gridCol w:w="167"/>
        <w:gridCol w:w="241"/>
      </w:tblGrid>
      <w:tr>
        <w:trPr/>
        <w:tc>
          <w:tcPr>
            <w:tcW w:w="42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64"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16">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16">
              <w:r>
                <w:rPr>
                  <w:rStyle w:val="InternetLink"/>
                  <w:rFonts w:ascii="Times New Roman;serif" w:hAnsi="Times New Roman;serif"/>
                  <w:b w:val="false"/>
                  <w:color w:val="000000"/>
                  <w:sz w:val="20"/>
                  <w:u w:val="single"/>
                </w:rPr>
                <w:t>Item 1.</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16">
              <w:r>
                <w:rPr>
                  <w:rStyle w:val="InternetLink"/>
                  <w:rFonts w:ascii="Times New Roman;serif" w:hAnsi="Times New Roman;serif"/>
                  <w:b w:val="false"/>
                  <w:color w:val="0000FF"/>
                  <w:sz w:val="20"/>
                  <w:u w:val="single"/>
                </w:rPr>
                <w:t>Financial Statements</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Unaudited Condensed Consolidated Financial Statements</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25">
              <w:r>
                <w:rPr>
                  <w:rStyle w:val="InternetLink"/>
                  <w:rFonts w:ascii="Times New Roman;serif" w:hAnsi="Times New Roman;serif"/>
                  <w:b w:val="false"/>
                  <w:color w:val="000080"/>
                  <w:sz w:val="20"/>
                  <w:u w:val="single"/>
                </w:rPr>
                <w:t xml:space="preserve">Condensed Consolidated Statements of Financial Condition </w:t>
              </w:r>
            </w:hyperlink>
            <w:hyperlink w:anchor="iaa081727b9ae4a77ac136dcdf3ee03ef_25">
              <w:r>
                <w:rPr>
                  <w:rStyle w:val="InternetLink"/>
                  <w:rFonts w:ascii="Times New Roman;serif" w:hAnsi="Times New Roman;serif"/>
                  <w:b w:val="false"/>
                  <w:color w:val="000080"/>
                  <w:sz w:val="20"/>
                  <w:u w:val="single"/>
                </w:rPr>
                <w:t xml:space="preserve">as of </w:t>
              </w:r>
            </w:hyperlink>
            <w:hyperlink w:anchor="iaa081727b9ae4a77ac136dcdf3ee03ef_25">
              <w:r>
                <w:rPr>
                  <w:rStyle w:val="InternetLink"/>
                  <w:rFonts w:ascii="Times New Roman;serif" w:hAnsi="Times New Roman;serif"/>
                  <w:b w:val="false"/>
                  <w:color w:val="000080"/>
                  <w:sz w:val="20"/>
                  <w:u w:val="single"/>
                </w:rPr>
                <w:t>June</w:t>
              </w:r>
            </w:hyperlink>
            <w:hyperlink w:anchor="iaa081727b9ae4a77ac136dcdf3ee03ef_25">
              <w:r>
                <w:rPr>
                  <w:rStyle w:val="InternetLink"/>
                  <w:rFonts w:ascii="Times New Roman;serif" w:hAnsi="Times New Roman;serif"/>
                  <w:b w:val="false"/>
                  <w:color w:val="000080"/>
                  <w:sz w:val="20"/>
                  <w:u w:val="single"/>
                </w:rPr>
                <w:t xml:space="preserve"> 3</w:t>
              </w:r>
            </w:hyperlink>
            <w:hyperlink w:anchor="iaa081727b9ae4a77ac136dcdf3ee03ef_25">
              <w:r>
                <w:rPr>
                  <w:rStyle w:val="InternetLink"/>
                  <w:rFonts w:ascii="Times New Roman;serif" w:hAnsi="Times New Roman;serif"/>
                  <w:b w:val="false"/>
                  <w:color w:val="000080"/>
                  <w:sz w:val="20"/>
                  <w:u w:val="single"/>
                </w:rPr>
                <w:t>0</w:t>
              </w:r>
            </w:hyperlink>
            <w:hyperlink w:anchor="iaa081727b9ae4a77ac136dcdf3ee03ef_25">
              <w:r>
                <w:rPr>
                  <w:rStyle w:val="InternetLink"/>
                  <w:rFonts w:ascii="Times New Roman;serif" w:hAnsi="Times New Roman;serif"/>
                  <w:b w:val="false"/>
                  <w:color w:val="000080"/>
                  <w:sz w:val="20"/>
                  <w:u w:val="single"/>
                </w:rPr>
                <w:t>, 2026 and December 31, 2025</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25">
              <w:r>
                <w:rPr>
                  <w:rStyle w:val="InternetLink"/>
                  <w:rFonts w:ascii="Times New Roman;serif" w:hAnsi="Times New Roman;serif"/>
                  <w:b w:val="false"/>
                  <w:color w:val="0000FF"/>
                  <w:sz w:val="20"/>
                  <w:u w:val="single"/>
                </w:rPr>
                <w:t>6</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28">
              <w:r>
                <w:rPr>
                  <w:rStyle w:val="InternetLink"/>
                  <w:rFonts w:ascii="Times New Roman;serif" w:hAnsi="Times New Roman;serif"/>
                  <w:b w:val="false"/>
                  <w:color w:val="000080"/>
                  <w:sz w:val="20"/>
                  <w:u w:val="single"/>
                </w:rPr>
                <w:t>Condensed Consolidated Statements of Operations</w:t>
              </w:r>
            </w:hyperlink>
            <w:hyperlink w:anchor="iaa081727b9ae4a77ac136dcdf3ee03ef_28">
              <w:r>
                <w:rPr>
                  <w:rStyle w:val="InternetLink"/>
                  <w:rFonts w:ascii="Times New Roman;serif" w:hAnsi="Times New Roman;serif"/>
                  <w:b w:val="false"/>
                  <w:color w:val="000080"/>
                  <w:sz w:val="20"/>
                  <w:u w:val="single"/>
                </w:rPr>
                <w:t xml:space="preserve"> </w:t>
              </w:r>
            </w:hyperlink>
            <w:hyperlink w:anchor="iaa081727b9ae4a77ac136dcdf3ee03ef_28">
              <w:r>
                <w:rPr>
                  <w:rStyle w:val="InternetLink"/>
                  <w:rFonts w:ascii="Times New Roman;serif" w:hAnsi="Times New Roman;serif"/>
                  <w:b w:val="false"/>
                  <w:color w:val="000080"/>
                  <w:sz w:val="20"/>
                  <w:u w:val="single"/>
                </w:rPr>
                <w:t xml:space="preserve">for the Three </w:t>
              </w:r>
            </w:hyperlink>
            <w:hyperlink w:anchor="iaa081727b9ae4a77ac136dcdf3ee03ef_28">
              <w:r>
                <w:rPr>
                  <w:rStyle w:val="InternetLink"/>
                  <w:rFonts w:ascii="Times New Roman;serif" w:hAnsi="Times New Roman;serif"/>
                  <w:b w:val="false"/>
                  <w:color w:val="000080"/>
                  <w:sz w:val="20"/>
                  <w:u w:val="single"/>
                </w:rPr>
                <w:t xml:space="preserve">and Six </w:t>
              </w:r>
            </w:hyperlink>
            <w:hyperlink w:anchor="iaa081727b9ae4a77ac136dcdf3ee03ef_28">
              <w:r>
                <w:rPr>
                  <w:rStyle w:val="InternetLink"/>
                  <w:rFonts w:ascii="Times New Roman;serif" w:hAnsi="Times New Roman;serif"/>
                  <w:b w:val="false"/>
                  <w:color w:val="000080"/>
                  <w:sz w:val="20"/>
                  <w:u w:val="single"/>
                </w:rPr>
                <w:t xml:space="preserve">Months Ended </w:t>
              </w:r>
            </w:hyperlink>
            <w:hyperlink w:anchor="iaa081727b9ae4a77ac136dcdf3ee03ef_28">
              <w:r>
                <w:rPr>
                  <w:rStyle w:val="InternetLink"/>
                  <w:rFonts w:ascii="Times New Roman;serif" w:hAnsi="Times New Roman;serif"/>
                  <w:b w:val="false"/>
                  <w:color w:val="000080"/>
                  <w:sz w:val="20"/>
                  <w:u w:val="single"/>
                </w:rPr>
                <w:t>June</w:t>
              </w:r>
            </w:hyperlink>
            <w:hyperlink w:anchor="iaa081727b9ae4a77ac136dcdf3ee03ef_28">
              <w:r>
                <w:rPr>
                  <w:rStyle w:val="InternetLink"/>
                  <w:rFonts w:ascii="Times New Roman;serif" w:hAnsi="Times New Roman;serif"/>
                  <w:b w:val="false"/>
                  <w:color w:val="000080"/>
                  <w:sz w:val="20"/>
                  <w:u w:val="single"/>
                </w:rPr>
                <w:t xml:space="preserve"> 3</w:t>
              </w:r>
            </w:hyperlink>
            <w:hyperlink w:anchor="iaa081727b9ae4a77ac136dcdf3ee03ef_28">
              <w:r>
                <w:rPr>
                  <w:rStyle w:val="InternetLink"/>
                  <w:rFonts w:ascii="Times New Roman;serif" w:hAnsi="Times New Roman;serif"/>
                  <w:b w:val="false"/>
                  <w:color w:val="000080"/>
                  <w:sz w:val="20"/>
                  <w:u w:val="single"/>
                </w:rPr>
                <w:t>0</w:t>
              </w:r>
            </w:hyperlink>
            <w:hyperlink w:anchor="iaa081727b9ae4a77ac136dcdf3ee03ef_28">
              <w:r>
                <w:rPr>
                  <w:rStyle w:val="InternetLink"/>
                  <w:rFonts w:ascii="Times New Roman;serif" w:hAnsi="Times New Roman;serif"/>
                  <w:b w:val="false"/>
                  <w:color w:val="000080"/>
                  <w:sz w:val="20"/>
                  <w:u w:val="single"/>
                </w:rPr>
                <w:t>, 2026 and 2025</w:t>
              </w:r>
            </w:hyperlink>
            <w:r>
              <w:rPr>
                <w:color w:val="000000"/>
              </w:rPr>
              <w:t xml:space="preserve"> </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28">
              <w:r>
                <w:rPr>
                  <w:rStyle w:val="InternetLink"/>
                  <w:rFonts w:ascii="Times New Roman;serif" w:hAnsi="Times New Roman;serif"/>
                  <w:b w:val="false"/>
                  <w:color w:val="0000FF"/>
                  <w:sz w:val="20"/>
                  <w:u w:val="single"/>
                </w:rPr>
                <w:t>7</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2053">
              <w:r>
                <w:rPr>
                  <w:rStyle w:val="InternetLink"/>
                  <w:rFonts w:ascii="Times New Roman;serif" w:hAnsi="Times New Roman;serif"/>
                  <w:b w:val="false"/>
                  <w:color w:val="000080"/>
                  <w:sz w:val="20"/>
                  <w:u w:val="single"/>
                </w:rPr>
                <w:t xml:space="preserve">Condensed Consolidated Statements of Comprehensive Income </w:t>
              </w:r>
            </w:hyperlink>
            <w:hyperlink w:anchor="iaa081727b9ae4a77ac136dcdf3ee03ef_2053">
              <w:r>
                <w:rPr>
                  <w:rStyle w:val="InternetLink"/>
                  <w:rFonts w:ascii="Times New Roman;serif" w:hAnsi="Times New Roman;serif"/>
                  <w:b w:val="false"/>
                  <w:color w:val="000080"/>
                  <w:sz w:val="20"/>
                  <w:u w:val="single"/>
                </w:rPr>
                <w:t>for the Three and Six Months Ended June 30, 2026 and 2025</w:t>
              </w:r>
            </w:hyperlink>
            <w:hyperlink w:anchor="iaa081727b9ae4a77ac136dcdf3ee03ef_2053">
              <w:r>
                <w:rPr>
                  <w:rStyle w:val="InternetLink"/>
                  <w:rFonts w:ascii="Times New Roman;serif" w:hAnsi="Times New Roman;serif"/>
                  <w:b w:val="false"/>
                  <w:color w:val="000080"/>
                  <w:sz w:val="20"/>
                  <w:u w:val="single"/>
                </w:rPr>
                <w:t xml:space="preserve"> </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2053">
              <w:r>
                <w:rPr>
                  <w:rStyle w:val="InternetLink"/>
                  <w:rFonts w:ascii="Times New Roman;serif" w:hAnsi="Times New Roman;serif"/>
                  <w:b w:val="false"/>
                  <w:color w:val="0000FF"/>
                  <w:sz w:val="20"/>
                  <w:u w:val="single"/>
                </w:rPr>
                <w:t>8</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31">
              <w:r>
                <w:rPr>
                  <w:rStyle w:val="InternetLink"/>
                  <w:rFonts w:ascii="Times New Roman;serif" w:hAnsi="Times New Roman;serif"/>
                  <w:b w:val="false"/>
                  <w:color w:val="000080"/>
                  <w:sz w:val="20"/>
                  <w:u w:val="single"/>
                </w:rPr>
                <w:t>Condensed Consolidated Statements of Changes in Equity</w:t>
              </w:r>
            </w:hyperlink>
            <w:hyperlink w:anchor="iaa081727b9ae4a77ac136dcdf3ee03ef_31">
              <w:r>
                <w:rPr>
                  <w:rStyle w:val="InternetLink"/>
                  <w:rFonts w:ascii="Times New Roman;serif" w:hAnsi="Times New Roman;serif"/>
                  <w:b w:val="false"/>
                  <w:color w:val="000080"/>
                  <w:sz w:val="20"/>
                  <w:u w:val="single"/>
                </w:rPr>
                <w:t xml:space="preserve"> </w:t>
              </w:r>
            </w:hyperlink>
            <w:hyperlink w:anchor="iaa081727b9ae4a77ac136dcdf3ee03ef_31">
              <w:r>
                <w:rPr>
                  <w:rStyle w:val="InternetLink"/>
                  <w:rFonts w:ascii="Times New Roman;serif" w:hAnsi="Times New Roman;serif"/>
                  <w:b w:val="false"/>
                  <w:color w:val="000080"/>
                  <w:sz w:val="20"/>
                  <w:u w:val="single"/>
                </w:rPr>
                <w:t xml:space="preserve">for the Three </w:t>
              </w:r>
            </w:hyperlink>
            <w:hyperlink w:anchor="iaa081727b9ae4a77ac136dcdf3ee03ef_31">
              <w:r>
                <w:rPr>
                  <w:rStyle w:val="InternetLink"/>
                  <w:rFonts w:ascii="Times New Roman;serif" w:hAnsi="Times New Roman;serif"/>
                  <w:b w:val="false"/>
                  <w:color w:val="000080"/>
                  <w:sz w:val="20"/>
                  <w:u w:val="single"/>
                </w:rPr>
                <w:t xml:space="preserve">and Six </w:t>
              </w:r>
            </w:hyperlink>
            <w:hyperlink w:anchor="iaa081727b9ae4a77ac136dcdf3ee03ef_31">
              <w:r>
                <w:rPr>
                  <w:rStyle w:val="InternetLink"/>
                  <w:rFonts w:ascii="Times New Roman;serif" w:hAnsi="Times New Roman;serif"/>
                  <w:b w:val="false"/>
                  <w:color w:val="000080"/>
                  <w:sz w:val="20"/>
                  <w:u w:val="single"/>
                </w:rPr>
                <w:t xml:space="preserve">Months Ended </w:t>
              </w:r>
            </w:hyperlink>
            <w:hyperlink w:anchor="iaa081727b9ae4a77ac136dcdf3ee03ef_31">
              <w:r>
                <w:rPr>
                  <w:rStyle w:val="InternetLink"/>
                  <w:rFonts w:ascii="Times New Roman;serif" w:hAnsi="Times New Roman;serif"/>
                  <w:b w:val="false"/>
                  <w:color w:val="000080"/>
                  <w:sz w:val="20"/>
                  <w:u w:val="single"/>
                </w:rPr>
                <w:t>June</w:t>
              </w:r>
            </w:hyperlink>
            <w:hyperlink w:anchor="iaa081727b9ae4a77ac136dcdf3ee03ef_31">
              <w:r>
                <w:rPr>
                  <w:rStyle w:val="InternetLink"/>
                  <w:rFonts w:ascii="Times New Roman;serif" w:hAnsi="Times New Roman;serif"/>
                  <w:b w:val="false"/>
                  <w:color w:val="000080"/>
                  <w:sz w:val="20"/>
                  <w:u w:val="single"/>
                </w:rPr>
                <w:t xml:space="preserve"> 3</w:t>
              </w:r>
            </w:hyperlink>
            <w:hyperlink w:anchor="iaa081727b9ae4a77ac136dcdf3ee03ef_31">
              <w:r>
                <w:rPr>
                  <w:rStyle w:val="InternetLink"/>
                  <w:rFonts w:ascii="Times New Roman;serif" w:hAnsi="Times New Roman;serif"/>
                  <w:b w:val="false"/>
                  <w:color w:val="000080"/>
                  <w:sz w:val="20"/>
                  <w:u w:val="single"/>
                </w:rPr>
                <w:t>0</w:t>
              </w:r>
            </w:hyperlink>
            <w:hyperlink w:anchor="iaa081727b9ae4a77ac136dcdf3ee03ef_31">
              <w:r>
                <w:rPr>
                  <w:rStyle w:val="InternetLink"/>
                  <w:rFonts w:ascii="Times New Roman;serif" w:hAnsi="Times New Roman;serif"/>
                  <w:b w:val="false"/>
                  <w:color w:val="000080"/>
                  <w:sz w:val="20"/>
                  <w:u w:val="single"/>
                </w:rPr>
                <w:t>, 2026 and 2025</w:t>
              </w:r>
            </w:hyperlink>
            <w:r>
              <w:rPr>
                <w:color w:val="000000"/>
              </w:rPr>
              <w:t xml:space="preserve"> </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1">
              <w:r>
                <w:rPr>
                  <w:rStyle w:val="InternetLink"/>
                  <w:rFonts w:ascii="Times New Roman;serif" w:hAnsi="Times New Roman;serif"/>
                  <w:b w:val="false"/>
                  <w:color w:val="0000FF"/>
                  <w:sz w:val="20"/>
                  <w:u w:val="single"/>
                </w:rPr>
                <w:t>9</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37">
              <w:r>
                <w:rPr>
                  <w:rStyle w:val="InternetLink"/>
                  <w:rFonts w:ascii="Times New Roman;serif" w:hAnsi="Times New Roman;serif"/>
                  <w:b w:val="false"/>
                  <w:color w:val="000080"/>
                  <w:sz w:val="20"/>
                  <w:u w:val="single"/>
                </w:rPr>
                <w:t xml:space="preserve">Condensed Consolidated Statements of Cash Flows </w:t>
              </w:r>
            </w:hyperlink>
            <w:hyperlink w:anchor="iaa081727b9ae4a77ac136dcdf3ee03ef_37">
              <w:r>
                <w:rPr>
                  <w:rStyle w:val="InternetLink"/>
                  <w:rFonts w:ascii="Times New Roman;serif" w:hAnsi="Times New Roman;serif"/>
                  <w:b w:val="false"/>
                  <w:color w:val="000080"/>
                  <w:sz w:val="20"/>
                  <w:u w:val="single"/>
                </w:rPr>
                <w:t xml:space="preserve">for the </w:t>
              </w:r>
            </w:hyperlink>
            <w:hyperlink w:anchor="iaa081727b9ae4a77ac136dcdf3ee03ef_37">
              <w:r>
                <w:rPr>
                  <w:rStyle w:val="InternetLink"/>
                  <w:rFonts w:ascii="Times New Roman;serif" w:hAnsi="Times New Roman;serif"/>
                  <w:b w:val="false"/>
                  <w:color w:val="000080"/>
                  <w:sz w:val="20"/>
                  <w:u w:val="single"/>
                </w:rPr>
                <w:t>Six</w:t>
              </w:r>
            </w:hyperlink>
            <w:hyperlink w:anchor="iaa081727b9ae4a77ac136dcdf3ee03ef_37">
              <w:r>
                <w:rPr>
                  <w:rStyle w:val="InternetLink"/>
                  <w:rFonts w:ascii="Times New Roman;serif" w:hAnsi="Times New Roman;serif"/>
                  <w:b w:val="false"/>
                  <w:color w:val="000080"/>
                  <w:sz w:val="20"/>
                  <w:u w:val="single"/>
                </w:rPr>
                <w:t xml:space="preserve"> Months Ended </w:t>
              </w:r>
            </w:hyperlink>
            <w:hyperlink w:anchor="iaa081727b9ae4a77ac136dcdf3ee03ef_37">
              <w:r>
                <w:rPr>
                  <w:rStyle w:val="InternetLink"/>
                  <w:rFonts w:ascii="Times New Roman;serif" w:hAnsi="Times New Roman;serif"/>
                  <w:b w:val="false"/>
                  <w:color w:val="000080"/>
                  <w:sz w:val="20"/>
                  <w:u w:val="single"/>
                </w:rPr>
                <w:t>June</w:t>
              </w:r>
            </w:hyperlink>
            <w:hyperlink w:anchor="iaa081727b9ae4a77ac136dcdf3ee03ef_37">
              <w:r>
                <w:rPr>
                  <w:rStyle w:val="InternetLink"/>
                  <w:rFonts w:ascii="Times New Roman;serif" w:hAnsi="Times New Roman;serif"/>
                  <w:b w:val="false"/>
                  <w:color w:val="000080"/>
                  <w:sz w:val="20"/>
                  <w:u w:val="single"/>
                </w:rPr>
                <w:t xml:space="preserve"> 3</w:t>
              </w:r>
            </w:hyperlink>
            <w:hyperlink w:anchor="iaa081727b9ae4a77ac136dcdf3ee03ef_37">
              <w:r>
                <w:rPr>
                  <w:rStyle w:val="InternetLink"/>
                  <w:rFonts w:ascii="Times New Roman;serif" w:hAnsi="Times New Roman;serif"/>
                  <w:b w:val="false"/>
                  <w:color w:val="000080"/>
                  <w:sz w:val="20"/>
                  <w:u w:val="single"/>
                </w:rPr>
                <w:t>0</w:t>
              </w:r>
            </w:hyperlink>
            <w:hyperlink w:anchor="iaa081727b9ae4a77ac136dcdf3ee03ef_37">
              <w:r>
                <w:rPr>
                  <w:rStyle w:val="InternetLink"/>
                  <w:rFonts w:ascii="Times New Roman;serif" w:hAnsi="Times New Roman;serif"/>
                  <w:b w:val="false"/>
                  <w:color w:val="000080"/>
                  <w:sz w:val="20"/>
                  <w:u w:val="single"/>
                </w:rPr>
                <w:t>, 2026 and 2025</w:t>
              </w:r>
            </w:hyperlink>
            <w:r>
              <w:rPr>
                <w:color w:val="000000"/>
              </w:rPr>
              <w:t xml:space="preserve"> </w:t>
            </w:r>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7">
              <w:r>
                <w:rPr>
                  <w:rStyle w:val="InternetLink"/>
                  <w:rFonts w:ascii="Times New Roman;serif" w:hAnsi="Times New Roman;serif"/>
                  <w:b w:val="false"/>
                  <w:color w:val="0000FF"/>
                  <w:sz w:val="20"/>
                  <w:u w:val="single"/>
                </w:rPr>
                <w:t>13</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lineRule="auto" w:line="268" w:before="0" w:after="0"/>
              <w:ind w:left="0" w:right="0" w:hanging="450"/>
              <w:jc w:val="left"/>
              <w:rPr/>
            </w:pPr>
            <w:hyperlink w:anchor="iaa081727b9ae4a77ac136dcdf3ee03ef_40">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3">
              <w:r>
                <w:rPr>
                  <w:rStyle w:val="InternetLink"/>
                  <w:rFonts w:ascii="Times New Roman;serif" w:hAnsi="Times New Roman;serif"/>
                  <w:b w:val="false"/>
                  <w:color w:val="0000FF"/>
                  <w:sz w:val="20"/>
                  <w:u w:val="single"/>
                </w:rPr>
                <w:t>14</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196">
              <w:r>
                <w:rPr>
                  <w:rStyle w:val="InternetLink"/>
                  <w:rFonts w:ascii="Times New Roman;serif" w:hAnsi="Times New Roman;serif"/>
                  <w:b w:val="false"/>
                  <w:color w:val="000000"/>
                  <w:sz w:val="20"/>
                  <w:u w:val="single"/>
                </w:rPr>
                <w:t>Item 2.</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19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196">
              <w:r>
                <w:rPr>
                  <w:rStyle w:val="InternetLink"/>
                  <w:rFonts w:ascii="Times New Roman;serif" w:hAnsi="Times New Roman;serif"/>
                  <w:b w:val="false"/>
                  <w:color w:val="0000FF"/>
                  <w:sz w:val="20"/>
                  <w:u w:val="single"/>
                </w:rPr>
                <w:t>54</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85">
              <w:r>
                <w:rPr>
                  <w:rStyle w:val="InternetLink"/>
                  <w:rFonts w:ascii="Times New Roman;serif" w:hAnsi="Times New Roman;serif"/>
                  <w:b w:val="false"/>
                  <w:color w:val="000000"/>
                  <w:sz w:val="20"/>
                  <w:u w:val="single"/>
                </w:rPr>
                <w:t>Item 3.</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85">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85">
              <w:r>
                <w:rPr>
                  <w:rStyle w:val="InternetLink"/>
                  <w:rFonts w:ascii="Times New Roman;serif" w:hAnsi="Times New Roman;serif"/>
                  <w:b w:val="false"/>
                  <w:color w:val="0000FF"/>
                  <w:sz w:val="20"/>
                  <w:u w:val="single"/>
                </w:rPr>
                <w:t>110</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88">
              <w:r>
                <w:rPr>
                  <w:rStyle w:val="InternetLink"/>
                  <w:rFonts w:ascii="Times New Roman;serif" w:hAnsi="Times New Roman;serif"/>
                  <w:b w:val="false"/>
                  <w:color w:val="000000"/>
                  <w:sz w:val="20"/>
                  <w:u w:val="single"/>
                </w:rPr>
                <w:t>Item 4.</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88">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88">
              <w:r>
                <w:rPr>
                  <w:rStyle w:val="InternetLink"/>
                  <w:rFonts w:ascii="Times New Roman;serif" w:hAnsi="Times New Roman;serif"/>
                  <w:b w:val="false"/>
                  <w:color w:val="0000FF"/>
                  <w:sz w:val="20"/>
                  <w:u w:val="single"/>
                </w:rPr>
                <w:t>110</w:t>
              </w:r>
            </w:hyperlink>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91">
              <w:r>
                <w:rPr>
                  <w:rStyle w:val="InternetLink"/>
                  <w:rFonts w:ascii="Times New Roman;serif" w:hAnsi="Times New Roman;serif"/>
                  <w:b/>
                  <w:color w:val="000000"/>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94">
              <w:r>
                <w:rPr>
                  <w:rStyle w:val="InternetLink"/>
                  <w:rFonts w:ascii="Times New Roman;serif" w:hAnsi="Times New Roman;serif"/>
                  <w:b w:val="false"/>
                  <w:color w:val="000000"/>
                  <w:sz w:val="20"/>
                  <w:u w:val="single"/>
                </w:rPr>
                <w:t>Item 1.</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94">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94">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97">
              <w:r>
                <w:rPr>
                  <w:rStyle w:val="InternetLink"/>
                  <w:rFonts w:ascii="Times New Roman;serif" w:hAnsi="Times New Roman;serif"/>
                  <w:b w:val="false"/>
                  <w:color w:val="000000"/>
                  <w:sz w:val="20"/>
                  <w:u w:val="single"/>
                </w:rPr>
                <w:t>Item 1A.</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397">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397">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0">
              <w:r>
                <w:rPr>
                  <w:rStyle w:val="InternetLink"/>
                  <w:rFonts w:ascii="Times New Roman;serif" w:hAnsi="Times New Roman;serif"/>
                  <w:b w:val="false"/>
                  <w:color w:val="000000"/>
                  <w:sz w:val="20"/>
                  <w:u w:val="single"/>
                </w:rPr>
                <w:t>Item 2.</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0">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00">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3">
              <w:r>
                <w:rPr>
                  <w:rStyle w:val="InternetLink"/>
                  <w:rFonts w:ascii="Times New Roman;serif" w:hAnsi="Times New Roman;serif"/>
                  <w:b w:val="false"/>
                  <w:color w:val="000000"/>
                  <w:sz w:val="20"/>
                  <w:u w:val="single"/>
                </w:rPr>
                <w:t>Item 3.</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3">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03">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6">
              <w:r>
                <w:rPr>
                  <w:rStyle w:val="InternetLink"/>
                  <w:rFonts w:ascii="Times New Roman;serif" w:hAnsi="Times New Roman;serif"/>
                  <w:b w:val="false"/>
                  <w:color w:val="000000"/>
                  <w:sz w:val="20"/>
                  <w:u w:val="single"/>
                </w:rPr>
                <w:t>Item 4.</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6">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06">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9">
              <w:r>
                <w:rPr>
                  <w:rStyle w:val="InternetLink"/>
                  <w:rFonts w:ascii="Times New Roman;serif" w:hAnsi="Times New Roman;serif"/>
                  <w:b w:val="false"/>
                  <w:color w:val="000000"/>
                  <w:sz w:val="20"/>
                  <w:u w:val="single"/>
                </w:rPr>
                <w:t>Item 5.</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09">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09">
              <w:r>
                <w:rPr>
                  <w:rStyle w:val="InternetLink"/>
                  <w:rFonts w:ascii="Times New Roman;serif" w:hAnsi="Times New Roman;serif"/>
                  <w:b w:val="false"/>
                  <w:color w:val="0000FF"/>
                  <w:sz w:val="20"/>
                  <w:u w:val="single"/>
                </w:rPr>
                <w:t>111</w:t>
              </w:r>
            </w:hyperlink>
          </w:p>
        </w:tc>
      </w:tr>
      <w:tr>
        <w:trPr/>
        <w:tc>
          <w:tcPr>
            <w:tcW w:w="1173"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15">
              <w:r>
                <w:rPr>
                  <w:rStyle w:val="InternetLink"/>
                  <w:rFonts w:ascii="Times New Roman;serif" w:hAnsi="Times New Roman;serif"/>
                  <w:b w:val="false"/>
                  <w:color w:val="000000"/>
                  <w:sz w:val="20"/>
                  <w:u w:val="single"/>
                </w:rPr>
                <w:t>Item 6.</w:t>
              </w:r>
            </w:hyperlink>
          </w:p>
        </w:tc>
        <w:tc>
          <w:tcPr>
            <w:tcW w:w="845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15">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w:anchor="iaa081727b9ae4a77ac136dcdf3ee03ef_415">
              <w:r>
                <w:rPr>
                  <w:rStyle w:val="InternetLink"/>
                  <w:rFonts w:ascii="Times New Roman;serif" w:hAnsi="Times New Roman;serif"/>
                  <w:b w:val="false"/>
                  <w:color w:val="0000FF"/>
                  <w:sz w:val="20"/>
                  <w:u w:val="single"/>
                </w:rPr>
                <w:t>112</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aa081727b9ae4a77ac136dcdf3ee03ef_418">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81965"/>
                <wp:effectExtent l="0" t="0" r="0" b="0"/>
                <wp:wrapNone/>
                <wp:docPr id="2" name="Frame2"/>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2.—Management’s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including those described in “Item 1A.—Risk Factors” herein and in our Annual Report on Form 10-K for the year ended December 31, 2025 (our “Annual Report”) filed with the United States Securities and Exchange Commission (“SEC”) on February 17, 2026 and in subsequent filings with the SEC, as such factors may be updated from time to time in our periodic filings with the SEC, which are accessible on the SEC’s website at https://www.sec.gov, and “Item 2.—Management’s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reasons described above, we caution you against relying on any forward-looking statements, which should also be read in conjunction with the other cautionary statements that are included elsewhere in this report. Any forward-looking statement made by us in this Quarterly Report on Form 10-Q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(https://www.tpg.com), Rise website (https://therisefund.com), TPG Private Equity Opportunities website (https://tpop.tpg.com), TPG Twin Brook website (https://twincp.com), TPG Twin Brook Capital Income Fund website (https://agtbcap.com), Microsites (https://software.tpg.com, https://healthcare.tpg.com), TPG LinkedIn (https://www.linkedin.com/company/tpg-capital), TPG Angelo Gordon LinkedIn (https://www.linkedin.com/company/tpg-angelo-gordon), TPG Twin Brook LinkedIn (https://www.linkedin.com/company/twin-brook-capital-partners), Peppertree LinkedIn (https://www.linkedin.com/company/peppertree-capital), X (formerly known as Twitter) (https://x.com/tpg), Vimeo (https://vimeo.com/user52190696), TPG YouTube (https://www.youtube.com/@tpg-inc), Rise YouTube (https://www.youtube.com/channel/UCo8p2iF_I5p-Wr2_MQlzedw/featured), TPG Instagram (https://www.instagram.com/TPG_INCORPORATED)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81965"/>
                <wp:effectExtent l="0" t="0" r="0" b="0"/>
                <wp:wrapNone/>
                <wp:docPr id="3" name="Frame3"/>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TERMS USED IN THIS REPORT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used in this Quarterly Report on Form 10-Q, unless the context otherwise requires, references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“the Company,” “we,” “our” and “us,” or like terms, refer to TPG Inc. and its consolidated subsidiaries taken as a whole.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Angelo Gordon” refers, collectively, to Angelo, Gordon &amp; Co., L.P. (“AG OpCo”) and AG Funds L.P. (“AG CarryCo”), each a Delaware limited partnership.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Class A common stock” refers to Class A common stock of TPG Inc., which entitles the holder to one vote per share. When we use the term “Class A common stock” in this Quarterly Report on Form 10-Q, we are referring exclusively to such voting Class A common stock and not to “nonvoting Class A common stock.”</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Class B common stock” refers to Class B common stock of TPG Inc., which entitles the holder to ten votes per share until the Sunset but carries no economic rights.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Common Unit” refers to a common unit in the TPG Operating Group.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Exchange Act” refers to the Securities Exchange Act of 1934, as amended.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Exchange Agreement” refers to the Amended and Restated Exchange Agreement entered into by TPG Inc. and the other parties thereto on November 1, 2023.</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Founders” refers to David Bonderman and James G. (“Jim”) Coulter.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GP LLC” refers to TPG GP A, LLC, the owner of the general partner of TPG Group Holdings.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Investor Rights Agreement” refers to the Amended and Restated Investor Rights Agreement entered into by TPG Inc. and the other parties thereto on November 1, 2023.</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IPO” refers to our initial public offering of Class A common stock of TPG Inc. that was completed on January 18, 2022.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Notes Issuer” refers to TPG Operating Group II, L.P., an indirect consolidated subsidiary of the Company.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our funds” refers to the funds, investment vehicles and other entities and accounts that are managed or co-managed by TPG for which we, directly or indirectly, act as general partner or in a similar capacity.</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Peppertree” refers to the business of Peppertree Capital Management, Inc., an Ohio corporation. Following the closing of the acquisition, we refer to Peppertree as “TPG Peppertree.”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81965"/>
                <wp:effectExtent l="0" t="0" r="0" b="0"/>
                <wp:wrapNone/>
                <wp:docPr id="4" name="Frame4"/>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Securities Act” refers to the Securities Act of 1933, as amended.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Chief Executive Officer (“CEO”) in the event that Mr. Winkelried ceases to serve as our CEO, and (ii) the first day of the quarter immediately following the fifth anniversary of the IPO.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Tax Receivable Agreement” refers to the Amended and Restated Tax Receivable Agreement entered into by TPG Inc. and the other parties thereto on November 1, 2023.</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general partner entities” refers to certain entities that (i) serve as the general partner of certain TPG funds and (ii) are, or historically were, consolidated by TPG Group Holdings.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Group Holdings” refers to TPG Group Holdings (SBS), L.P., a Delaware limited partnership that is considered our predecessor for accounting purposes and is a TPG Partner Vehicle and direct owner of certain Common Units and Class B common stock.</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Partner Holdings” refers to TPG Partner Holdings, L.P., a Delaware limited partnership, which is a TPG Partner Vehicle that indirectly owns substantially all of the economic interests of TPG Group Holdings, a TPG Partner Vehicle.</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for definitions of “Gross IRR,” “Net IRR,” “Gross MoM,” “Net IRR,” “Net MoM” and related terms, see “Item 2.—Management’s Discussion and Analysis of Financial Condition and Results of Operations—Operating Metrics—Fund Performance Metrics.”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81965"/>
                <wp:effectExtent l="0" t="0" r="0" b="0"/>
                <wp:wrapNone/>
                <wp:docPr id="5" name="Frame5"/>
                <a:graphic xmlns:a="http://schemas.openxmlformats.org/drawingml/2006/main">
                  <a:graphicData uri="http://schemas.microsoft.com/office/word/2010/wordprocessingShape">
                    <wps:wsp>
                      <wps:cNvSpPr txBox="1"/>
                      <wps:spPr>
                        <a:xfrm>
                          <a:off x="0" y="0"/>
                          <a:ext cx="6480175" cy="4819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67"/>
        <w:gridCol w:w="2144"/>
        <w:gridCol w:w="2162"/>
        <w:gridCol w:w="211"/>
        <w:gridCol w:w="1081"/>
        <w:gridCol w:w="109"/>
        <w:gridCol w:w="109"/>
        <w:gridCol w:w="109"/>
        <w:gridCol w:w="109"/>
        <w:gridCol w:w="219"/>
        <w:gridCol w:w="1122"/>
        <w:gridCol w:w="163"/>
      </w:tblGrid>
      <w:tr>
        <w:trPr/>
        <w:tc>
          <w:tcPr>
            <w:tcW w:w="266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Restricted cash</w:t>
            </w:r>
            <w:r>
              <w:rPr>
                <w:rFonts w:ascii="Times New Roman;serif" w:hAnsi="Times New Roman;serif"/>
                <w:b w:val="false"/>
                <w:color w:val="000000"/>
                <w:sz w:val="13"/>
              </w:rPr>
              <w:t>(a)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Investments (includes assets pledged of $461,818 and $603,322 as of June 30, 2026 and December 31, 2025, respectively</w:t>
            </w:r>
            <w:r>
              <w:rPr>
                <w:rFonts w:ascii="Times New Roman;serif" w:hAnsi="Times New Roman;serif"/>
                <w:b w:val="false"/>
                <w:color w:val="000000"/>
                <w:sz w:val="13"/>
              </w:rPr>
              <w:t>(a)</w:t>
            </w:r>
            <w:r>
              <w:rPr>
                <w:rFonts w:ascii="Times New Roman;serif" w:hAnsi="Times New Roman;serif"/>
                <w:b w:val="false"/>
                <w:color w:val="000000"/>
                <w:sz w:val="20"/>
              </w:rPr>
              <w: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9,211,816 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659,839 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498,188 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552,254 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860,676 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297,301 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13,492,935 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Debt obligations</w:t>
            </w:r>
            <w:r>
              <w:rPr>
                <w:rFonts w:ascii="Times New Roman;serif" w:hAnsi="Times New Roman;serif"/>
                <w:b w:val="false"/>
                <w:color w:val="000000"/>
                <w:sz w:val="13"/>
              </w:rPr>
              <w:t>(a)</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allocation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5,399,750 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9,356,560 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2,340,000,000 shares authorized (166,502,052 and 153,113,961 shares issued and outstanding as of 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750,000,000 shares authorized (217,809,708 and 224,331,812 shares issued and outstanding as of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25,000,000 shares authorized (0 issued and outstanding as of June 30, 2026 and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1,476,444 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(291,604)</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 of tax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2,951,158 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4,136,375 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13,492,935 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(a)The Company’s consolidated total assets and liabilities as of June 30, 2026 and December 31, 2025 include assets and liabilities of variable interest entities (“VIEs”). These assets can be used only to satisfy obligations of the VIEs, and the creditors of the VIEs have recourse only to these assets, and not to TPG Inc. See Notes 2, 7 and 8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1630"/>
                <wp:effectExtent l="0" t="0" r="0" b="0"/>
                <wp:wrapNone/>
                <wp:docPr id="6" name="Frame6"/>
                <a:graphic xmlns:a="http://schemas.openxmlformats.org/drawingml/2006/main">
                  <a:graphicData uri="http://schemas.microsoft.com/office/word/2010/wordprocessingShape">
                    <wps:wsp>
                      <wps:cNvSpPr txBox="1"/>
                      <wps:spPr>
                        <a:xfrm>
                          <a:off x="0" y="0"/>
                          <a:ext cx="6480175" cy="34163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05"/>
        <w:gridCol w:w="1280"/>
        <w:gridCol w:w="129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allocation-based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Cash-based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from investment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dividends and 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TPG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Class A common stock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164,670,334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162,166,694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125,450,638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385,468,150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370,142,783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384,594,589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369,753,038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6870"/>
                <wp:effectExtent l="0" t="0" r="0" b="0"/>
                <wp:wrapNone/>
                <wp:docPr id="7" name="Frame7"/>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8"/>
        <w:gridCol w:w="1396"/>
        <w:gridCol w:w="1416"/>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6"/>
      </w:tblGrid>
      <w:tr>
        <w:trPr/>
        <w:tc>
          <w:tcPr>
            <w:tcW w:w="1668"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Comprehensive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TPG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6870"/>
                <wp:effectExtent l="0" t="0" r="0" b="0"/>
                <wp:wrapNone/>
                <wp:docPr id="8" name="Frame8"/>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before="0" w:after="0"/>
        <w:jc w:val="center"/>
        <w:rPr/>
      </w:pPr>
      <w:r>
        <w:rPr/>
      </w:r>
    </w:p>
    <w:p>
      <w:pPr>
        <w:pStyle w:val="TextBody"/>
        <w:bidi w:val="0"/>
        <w:spacing w:before="0" w:after="0"/>
        <w:jc w:val="center"/>
        <w:rPr/>
      </w:pPr>
      <w:r>
        <w:rPr/>
      </w:r>
    </w:p>
    <w:tbl>
      <w:tblPr>
        <w:tblW w:w="15516" w:type="dxa"/>
        <w:jc w:val="center"/>
        <w:tblInd w:w="0" w:type="dxa"/>
        <w:tblLayout w:type="fixed"/>
        <w:tblCellMar>
          <w:top w:w="28" w:type="dxa"/>
          <w:left w:w="28" w:type="dxa"/>
          <w:bottom w:w="28" w:type="dxa"/>
          <w:right w:w="28" w:type="dxa"/>
        </w:tblCellMar>
      </w:tblPr>
      <w:tblGrid>
        <w:gridCol w:w="816"/>
        <w:gridCol w:w="229"/>
        <w:gridCol w:w="231"/>
        <w:gridCol w:w="599"/>
        <w:gridCol w:w="452"/>
        <w:gridCol w:w="256"/>
        <w:gridCol w:w="109"/>
        <w:gridCol w:w="109"/>
        <w:gridCol w:w="109"/>
        <w:gridCol w:w="594"/>
        <w:gridCol w:w="457"/>
        <w:gridCol w:w="256"/>
        <w:gridCol w:w="109"/>
        <w:gridCol w:w="109"/>
        <w:gridCol w:w="109"/>
        <w:gridCol w:w="206"/>
        <w:gridCol w:w="444"/>
        <w:gridCol w:w="116"/>
        <w:gridCol w:w="109"/>
        <w:gridCol w:w="109"/>
        <w:gridCol w:w="109"/>
        <w:gridCol w:w="206"/>
        <w:gridCol w:w="444"/>
        <w:gridCol w:w="116"/>
        <w:gridCol w:w="109"/>
        <w:gridCol w:w="109"/>
        <w:gridCol w:w="109"/>
        <w:gridCol w:w="196"/>
        <w:gridCol w:w="871"/>
        <w:gridCol w:w="109"/>
        <w:gridCol w:w="109"/>
        <w:gridCol w:w="109"/>
        <w:gridCol w:w="109"/>
        <w:gridCol w:w="196"/>
        <w:gridCol w:w="751"/>
        <w:gridCol w:w="109"/>
        <w:gridCol w:w="109"/>
        <w:gridCol w:w="109"/>
        <w:gridCol w:w="109"/>
        <w:gridCol w:w="321"/>
        <w:gridCol w:w="715"/>
        <w:gridCol w:w="180"/>
        <w:gridCol w:w="109"/>
        <w:gridCol w:w="109"/>
        <w:gridCol w:w="109"/>
        <w:gridCol w:w="196"/>
        <w:gridCol w:w="871"/>
        <w:gridCol w:w="109"/>
        <w:gridCol w:w="109"/>
        <w:gridCol w:w="109"/>
        <w:gridCol w:w="109"/>
        <w:gridCol w:w="217"/>
        <w:gridCol w:w="967"/>
        <w:gridCol w:w="122"/>
        <w:gridCol w:w="109"/>
        <w:gridCol w:w="109"/>
        <w:gridCol w:w="109"/>
        <w:gridCol w:w="196"/>
        <w:gridCol w:w="87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7"/>
              </w:rPr>
            </w:pPr>
            <w:r>
              <w:rPr>
                <w:rFonts w:ascii="Times New Roman;serif" w:hAnsi="Times New Roman;serif"/>
                <w:b/>
                <w:color w:val="000000"/>
                <w:sz w:val="17"/>
              </w:rPr>
              <w:t>Total 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160,321,166 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223,852,327 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2,591,392 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3,724,771 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net settlement of equity-based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net settlement of equity-based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effects for Exchange of Common Units to TPG Inc. Class A common stock and other equity reallocations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6,042,619 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(6,042,619)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reallocation between controlling and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previously consolidated entities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retired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166,502,052 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217,809,708 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2,506,194 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3,742,235 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6870"/>
                <wp:effectExtent l="0" t="0" r="0" b="0"/>
                <wp:wrapNone/>
                <wp:docPr id="9" name="Frame9"/>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before="0" w:after="0"/>
        <w:jc w:val="center"/>
        <w:rPr/>
      </w:pPr>
      <w:r>
        <w:rPr/>
      </w:r>
    </w:p>
    <w:p>
      <w:pPr>
        <w:pStyle w:val="TextBody"/>
        <w:bidi w:val="0"/>
        <w:spacing w:before="0" w:after="0"/>
        <w:jc w:val="center"/>
        <w:rPr/>
      </w:pPr>
      <w:r>
        <w:rPr/>
      </w:r>
    </w:p>
    <w:tbl>
      <w:tblPr>
        <w:tblW w:w="14056" w:type="dxa"/>
        <w:jc w:val="center"/>
        <w:tblInd w:w="0" w:type="dxa"/>
        <w:tblLayout w:type="fixed"/>
        <w:tblCellMar>
          <w:top w:w="28" w:type="dxa"/>
          <w:left w:w="28" w:type="dxa"/>
          <w:bottom w:w="28" w:type="dxa"/>
          <w:right w:w="28" w:type="dxa"/>
        </w:tblCellMar>
      </w:tblPr>
      <w:tblGrid>
        <w:gridCol w:w="816"/>
        <w:gridCol w:w="229"/>
        <w:gridCol w:w="231"/>
        <w:gridCol w:w="599"/>
        <w:gridCol w:w="452"/>
        <w:gridCol w:w="256"/>
        <w:gridCol w:w="109"/>
        <w:gridCol w:w="109"/>
        <w:gridCol w:w="109"/>
        <w:gridCol w:w="594"/>
        <w:gridCol w:w="457"/>
        <w:gridCol w:w="256"/>
        <w:gridCol w:w="109"/>
        <w:gridCol w:w="109"/>
        <w:gridCol w:w="109"/>
        <w:gridCol w:w="206"/>
        <w:gridCol w:w="444"/>
        <w:gridCol w:w="116"/>
        <w:gridCol w:w="109"/>
        <w:gridCol w:w="109"/>
        <w:gridCol w:w="109"/>
        <w:gridCol w:w="206"/>
        <w:gridCol w:w="444"/>
        <w:gridCol w:w="116"/>
        <w:gridCol w:w="109"/>
        <w:gridCol w:w="109"/>
        <w:gridCol w:w="109"/>
        <w:gridCol w:w="196"/>
        <w:gridCol w:w="871"/>
        <w:gridCol w:w="109"/>
        <w:gridCol w:w="109"/>
        <w:gridCol w:w="109"/>
        <w:gridCol w:w="109"/>
        <w:gridCol w:w="196"/>
        <w:gridCol w:w="751"/>
        <w:gridCol w:w="109"/>
        <w:gridCol w:w="109"/>
        <w:gridCol w:w="109"/>
        <w:gridCol w:w="109"/>
        <w:gridCol w:w="109"/>
        <w:gridCol w:w="109"/>
        <w:gridCol w:w="196"/>
        <w:gridCol w:w="736"/>
        <w:gridCol w:w="109"/>
        <w:gridCol w:w="109"/>
        <w:gridCol w:w="109"/>
        <w:gridCol w:w="109"/>
        <w:gridCol w:w="217"/>
        <w:gridCol w:w="967"/>
        <w:gridCol w:w="122"/>
        <w:gridCol w:w="109"/>
        <w:gridCol w:w="109"/>
        <w:gridCol w:w="109"/>
        <w:gridCol w:w="196"/>
        <w:gridCol w:w="871"/>
        <w:gridCol w:w="154"/>
      </w:tblGrid>
      <w:tr>
        <w:trPr/>
        <w:tc>
          <w:tcPr>
            <w:tcW w:w="8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Total 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123,552,251 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245,970,148 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2,675,636 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(225,905)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net settlement of equity-based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net settlement of equity-based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Units to TPG Inc. Class A Common stock and related deferred tax effects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reallocation between controlling and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(120,828)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previously consolidated entities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retired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144,596,915 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224,858,284 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1,258,871 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(267,366)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2,567,581 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3,559,456 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6870"/>
                <wp:effectExtent l="0" t="0" r="0" b="0"/>
                <wp:wrapNone/>
                <wp:docPr id="10" name="Frame10"/>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before="0" w:after="0"/>
        <w:jc w:val="center"/>
        <w:rPr/>
      </w:pPr>
      <w:r>
        <w:rPr/>
      </w:r>
    </w:p>
    <w:tbl>
      <w:tblPr>
        <w:tblW w:w="15516" w:type="dxa"/>
        <w:jc w:val="center"/>
        <w:tblInd w:w="0" w:type="dxa"/>
        <w:tblLayout w:type="fixed"/>
        <w:tblCellMar>
          <w:top w:w="28" w:type="dxa"/>
          <w:left w:w="28" w:type="dxa"/>
          <w:bottom w:w="28" w:type="dxa"/>
          <w:right w:w="28" w:type="dxa"/>
        </w:tblCellMar>
      </w:tblPr>
      <w:tblGrid>
        <w:gridCol w:w="711"/>
        <w:gridCol w:w="282"/>
        <w:gridCol w:w="283"/>
        <w:gridCol w:w="599"/>
        <w:gridCol w:w="452"/>
        <w:gridCol w:w="256"/>
        <w:gridCol w:w="109"/>
        <w:gridCol w:w="109"/>
        <w:gridCol w:w="109"/>
        <w:gridCol w:w="594"/>
        <w:gridCol w:w="457"/>
        <w:gridCol w:w="256"/>
        <w:gridCol w:w="109"/>
        <w:gridCol w:w="109"/>
        <w:gridCol w:w="109"/>
        <w:gridCol w:w="206"/>
        <w:gridCol w:w="444"/>
        <w:gridCol w:w="116"/>
        <w:gridCol w:w="109"/>
        <w:gridCol w:w="109"/>
        <w:gridCol w:w="109"/>
        <w:gridCol w:w="206"/>
        <w:gridCol w:w="444"/>
        <w:gridCol w:w="116"/>
        <w:gridCol w:w="109"/>
        <w:gridCol w:w="109"/>
        <w:gridCol w:w="109"/>
        <w:gridCol w:w="196"/>
        <w:gridCol w:w="871"/>
        <w:gridCol w:w="109"/>
        <w:gridCol w:w="109"/>
        <w:gridCol w:w="109"/>
        <w:gridCol w:w="109"/>
        <w:gridCol w:w="196"/>
        <w:gridCol w:w="751"/>
        <w:gridCol w:w="109"/>
        <w:gridCol w:w="109"/>
        <w:gridCol w:w="109"/>
        <w:gridCol w:w="109"/>
        <w:gridCol w:w="321"/>
        <w:gridCol w:w="715"/>
        <w:gridCol w:w="180"/>
        <w:gridCol w:w="109"/>
        <w:gridCol w:w="109"/>
        <w:gridCol w:w="109"/>
        <w:gridCol w:w="196"/>
        <w:gridCol w:w="871"/>
        <w:gridCol w:w="109"/>
        <w:gridCol w:w="109"/>
        <w:gridCol w:w="109"/>
        <w:gridCol w:w="109"/>
        <w:gridCol w:w="217"/>
        <w:gridCol w:w="967"/>
        <w:gridCol w:w="122"/>
        <w:gridCol w:w="109"/>
        <w:gridCol w:w="109"/>
        <w:gridCol w:w="109"/>
        <w:gridCol w:w="196"/>
        <w:gridCol w:w="87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153,113,961 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224,331,812 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2,951,158 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196,397 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net settlement of equity-based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5,067,632 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net settlement of equity-based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effects for Exchange of Common Units to TPG Inc. Class A common stock and other equity reallocations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6,042,619 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(6,042,619)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previously consolidated entities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(804,839)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reallocation between controlling and non-controlling interest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Jackson Transaction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2,279,109 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retired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166,502,052 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217,809,708 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2,506,194 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6870"/>
                <wp:effectExtent l="0" t="0" r="0" b="0"/>
                <wp:wrapNone/>
                <wp:docPr id="11" name="Frame11"/>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 data)</w:t>
      </w:r>
    </w:p>
    <w:p>
      <w:pPr>
        <w:pStyle w:val="TextBody"/>
        <w:bidi w:val="0"/>
        <w:spacing w:before="0" w:after="0"/>
        <w:jc w:val="center"/>
        <w:rPr/>
      </w:pPr>
      <w:r>
        <w:rPr/>
      </w:r>
    </w:p>
    <w:tbl>
      <w:tblPr>
        <w:tblW w:w="14056" w:type="dxa"/>
        <w:jc w:val="center"/>
        <w:tblInd w:w="0" w:type="dxa"/>
        <w:tblLayout w:type="fixed"/>
        <w:tblCellMar>
          <w:top w:w="28" w:type="dxa"/>
          <w:left w:w="28" w:type="dxa"/>
          <w:bottom w:w="28" w:type="dxa"/>
          <w:right w:w="28" w:type="dxa"/>
        </w:tblCellMar>
      </w:tblPr>
      <w:tblGrid>
        <w:gridCol w:w="711"/>
        <w:gridCol w:w="282"/>
        <w:gridCol w:w="283"/>
        <w:gridCol w:w="599"/>
        <w:gridCol w:w="452"/>
        <w:gridCol w:w="256"/>
        <w:gridCol w:w="109"/>
        <w:gridCol w:w="109"/>
        <w:gridCol w:w="109"/>
        <w:gridCol w:w="594"/>
        <w:gridCol w:w="457"/>
        <w:gridCol w:w="256"/>
        <w:gridCol w:w="109"/>
        <w:gridCol w:w="109"/>
        <w:gridCol w:w="109"/>
        <w:gridCol w:w="206"/>
        <w:gridCol w:w="444"/>
        <w:gridCol w:w="116"/>
        <w:gridCol w:w="109"/>
        <w:gridCol w:w="109"/>
        <w:gridCol w:w="109"/>
        <w:gridCol w:w="206"/>
        <w:gridCol w:w="444"/>
        <w:gridCol w:w="116"/>
        <w:gridCol w:w="109"/>
        <w:gridCol w:w="109"/>
        <w:gridCol w:w="109"/>
        <w:gridCol w:w="196"/>
        <w:gridCol w:w="871"/>
        <w:gridCol w:w="109"/>
        <w:gridCol w:w="109"/>
        <w:gridCol w:w="109"/>
        <w:gridCol w:w="109"/>
        <w:gridCol w:w="196"/>
        <w:gridCol w:w="751"/>
        <w:gridCol w:w="109"/>
        <w:gridCol w:w="109"/>
        <w:gridCol w:w="109"/>
        <w:gridCol w:w="109"/>
        <w:gridCol w:w="109"/>
        <w:gridCol w:w="109"/>
        <w:gridCol w:w="196"/>
        <w:gridCol w:w="736"/>
        <w:gridCol w:w="109"/>
        <w:gridCol w:w="109"/>
        <w:gridCol w:w="109"/>
        <w:gridCol w:w="109"/>
        <w:gridCol w:w="217"/>
        <w:gridCol w:w="967"/>
        <w:gridCol w:w="122"/>
        <w:gridCol w:w="109"/>
        <w:gridCol w:w="109"/>
        <w:gridCol w:w="109"/>
        <w:gridCol w:w="196"/>
        <w:gridCol w:w="87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of 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TPG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A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Class B Common Stock, at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TPG Inc.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Total Equity</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109,211,355 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255,756,502 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2,807,888 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117,939 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(440,614)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net settlement of equity-based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4,599,206 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net settlement of equity-based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Common Units to TPG Inc. Class A Common stock and related deferred tax effects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30,786,354 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(30,786,354)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reallocation between controlling and non-controlling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Deconsolidation of previously consolidated entities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retired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144,596,915 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224,858,284 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2,567,581 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3,559,456 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6870"/>
                <wp:effectExtent l="0" t="0" r="0" b="0"/>
                <wp:wrapNone/>
                <wp:docPr id="12" name="Frame12"/>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(dollars in thousands)</w:t>
      </w:r>
    </w:p>
    <w:tbl>
      <w:tblPr>
        <w:tblW w:w="9764" w:type="dxa"/>
        <w:jc w:val="center"/>
        <w:tblInd w:w="0" w:type="dxa"/>
        <w:tblLayout w:type="fixed"/>
        <w:tblCellMar>
          <w:top w:w="28" w:type="dxa"/>
          <w:left w:w="28" w:type="dxa"/>
          <w:bottom w:w="28" w:type="dxa"/>
          <w:right w:w="28" w:type="dxa"/>
        </w:tblCellMar>
      </w:tblPr>
      <w:tblGrid>
        <w:gridCol w:w="2435"/>
        <w:gridCol w:w="2135"/>
        <w:gridCol w:w="2149"/>
        <w:gridCol w:w="213"/>
        <w:gridCol w:w="837"/>
        <w:gridCol w:w="109"/>
        <w:gridCol w:w="109"/>
        <w:gridCol w:w="109"/>
        <w:gridCol w:w="109"/>
        <w:gridCol w:w="211"/>
        <w:gridCol w:w="976"/>
        <w:gridCol w:w="109"/>
        <w:gridCol w:w="109"/>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Equity-based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Performance allocation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losses from investment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allocation-based income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(1,016,439)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(842,884)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Non-cash lease expense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non-cash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investments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investments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Due from affiliates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Due to affiliates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performance allocation compensation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operating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584,055 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Jackson common stock</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Purchases of fixed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used in investing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(535,721)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debt obligations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debt obligations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Issuance costs on debt obligations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Withholding taxes paid on net settlement of equity-based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Contributions from holders of non-controlling interests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360,668 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Dividends/Distributions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(583,573)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Settlement of contingent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Receivable Agreement payments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cash provided by (used in) financing activities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(270,616)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exchange rate changes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change in cash, cash equivalents and restricted cash</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957,827 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1,125,200 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Supplemental disclosures of other cash flow information:</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Reconciliation of cash, cash equivalents and restricted cash, end of period:</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1,112,027 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Cash, cash equivalents and restricted cash, end of period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957,827 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1,125,200 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6870"/>
                <wp:effectExtent l="0" t="0" r="0" b="0"/>
                <wp:wrapNone/>
                <wp:docPr id="13" name="Frame13"/>
                <a:graphic xmlns:a="http://schemas.openxmlformats.org/drawingml/2006/main">
                  <a:graphicData uri="http://schemas.microsoft.com/office/word/2010/wordprocessingShape">
                    <wps:wsp>
                      <wps:cNvSpPr txBox="1"/>
                      <wps:spPr>
                        <a:xfrm>
                          <a:off x="0" y="0"/>
                          <a:ext cx="6480175" cy="35687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8"/>
                        </w:rPr>
                        <w:t>See accompanying notes to Condensed</w:t>
                      </w:r>
                      <w:r>
                        <w:rPr>
                          <w:color w:val="000000"/>
                        </w:rPr>
                        <w:t xml:space="preserve"> </w:t>
                      </w:r>
                      <w:r>
                        <w:rPr>
                          <w:rFonts w:ascii="Times New Roman;serif" w:hAnsi="Times New Roman;serif"/>
                          <w:b w:val="false"/>
                          <w:color w:val="000000"/>
                          <w:sz w:val="18"/>
                        </w:rPr>
                        <w:t>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TPG Inc. held approximately 43% of the outstanding Common Units of the TPG Operating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(the “Condensed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Condensed Consolidated Financial Statements. The operating results presented for interim periods are not necessarily indicative of the results that may be expected for any other interim period or for the entire year. These condensed consolidated financial statements should be read in conjunction with the audited consolidated financial statements included in the Company’s Annual Report on Form 10-K for the year ended December 31, 2025 filed with the Securities and Exchange Commission. All dollar amounts are stated in thousands unless otherwise indicated. All intercompany transactions and balances have been eliminated. Certain comparative amounts for the prior fiscal year have been reclassified to conform to the financial statement presentation as of and for the period ended June 30,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expenses, and investment income during the reporting periods. Actual results could differ from those estimates and such differences could be material to the Condensed Consolidated Financial Statements.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types of entities TPG assesses for consolidation include subsidiaries, management companies, broker-dealers, general partners of investment funds, investment funds and other entities. Each of these entities is assessed for consolidation on a case by case basis depending on the specific facts and circumstances surrounding that entity.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limited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an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Entities that are determined not to be VIEs are generally considered to be VOEs and are evaluated under the voting interest model. TPG consolidates VOEs that it controls through a majority voting interest or through other means.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Equity Method – Performance Allocations and Capital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TPG funds are considered investment companies under Accounting Standards Codification (“ASC” or the “Codification”) Topic 946, </w:t>
      </w:r>
      <w:r>
        <w:rPr>
          <w:rFonts w:ascii="Times New Roman;serif" w:hAnsi="Times New Roman;serif"/>
          <w:b w:val="false"/>
          <w:i/>
          <w:color w:val="000000"/>
          <w:sz w:val="20"/>
        </w:rPr>
        <w:t>Financial Services – Investment Companies</w:t>
      </w:r>
      <w:r>
        <w:rPr>
          <w:color w:val="000000"/>
        </w:rPr>
        <w:t xml:space="preserve"> </w:t>
      </w:r>
      <w:r>
        <w:rPr>
          <w:rFonts w:ascii="Times New Roman;serif" w:hAnsi="Times New Roman;serif"/>
          <w:b w:val="false"/>
          <w:color w:val="000000"/>
          <w:sz w:val="20"/>
        </w:rPr>
        <w:t>(“ASC 946”). The Company, along with the TPG funds, applies the specialized accounting promulgated in ASC 946 and, 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market participant assumptions are used in the determination of the discount rate.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Condensed Consolidated Financial Statements may differ materially from values that would have been used had a readily available market existed for such investments and may differ materially from the values that may ultimately be realized.</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Investments Held to Maturity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investments in the notes issued by collateralized loan obligation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to 2035. If the Company failed to keep these investments as held to maturity it would be required to reclassify them as trading securities and would measure at fair value. Where applicable, impairment is recognized related to investments in the CLO funds in accordance with U.S. GAAP. The CLO funds evaluate securities for impairment on a security-by-security basis based on adverse changes in expected cash flows.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Equity Method Investments – 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Equity Method – Fair Value Option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non-controlling ownership interests in which it does not have significant influence over their operations. The Company records such investments at fair value.</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Investments Held for Sale and Other</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Investments held for sale and other are held primarily for the purpose of selling in the near term. The Company elects the fair value option, in accordance with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certain investments held for sale with changes in fair value recognized in net gains (losses) from investment activities in the Condensed Consolidated Financial Statements. Such election is irrevocable and is applied on an investment-by-investment basis at initial recognition. Management believes that the election of the fair value option for investments held for sale improves financial reporting by presenting the most relevant market indication of investments held for sale. The Company records investments held for sale and other at fair value using discounted cash flow and market comparable approaches. Interest income on investments held for sale and other is calculated based upon the contractual rate of the investment, where applicable, and recorded in interest, dividends and other in the Condensed Consolidated Financial Statements. For investments held for sale, up-front costs and certain other fees are expensed as incurred, or at the time of funding for the respective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Non-controlling interests consists of ownership interests held by third-party investors in certain entities that are consolidated, but not 100% owned. The aggregate of the income or loss and corresponding equity that is not owned by the Company is included in non-controlling interests in the Condensed Consolidated Financial Statements. Allocation of income to non-controlling interest holders is based on the respective entities’ governing documents.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Revenues consisted of the following (in thousands):</w:t>
      </w:r>
    </w:p>
    <w:tbl>
      <w:tblPr>
        <w:tblW w:w="9637" w:type="dxa"/>
        <w:jc w:val="left"/>
        <w:tblInd w:w="0" w:type="dxa"/>
        <w:tblLayout w:type="fixed"/>
        <w:tblCellMar>
          <w:top w:w="28" w:type="dxa"/>
          <w:left w:w="28" w:type="dxa"/>
          <w:bottom w:w="28" w:type="dxa"/>
          <w:right w:w="28" w:type="dxa"/>
        </w:tblCellMar>
      </w:tblPr>
      <w:tblGrid>
        <w:gridCol w:w="1217"/>
        <w:gridCol w:w="1068"/>
        <w:gridCol w:w="107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Monitoring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 and other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capital allocation-based income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605" cy="14605"/>
                <wp:effectExtent l="0" t="0" r="0" b="0"/>
                <wp:wrapNone/>
                <wp:docPr id="17" name="Frame1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pPr>
      <w:r>
        <w:rPr>
          <w:rFonts w:ascii="Times New Roman;serif" w:hAnsi="Times New Roman;serif"/>
          <w:b/>
          <w:i/>
          <w:color w:val="000000"/>
          <w:sz w:val="20"/>
        </w:rPr>
        <w:t>Fees and Other</w:t>
      </w:r>
      <w:r>
        <w:rPr>
          <w:color w:val="000000"/>
        </w:rPr>
        <w:t xml:space="preserve">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Fees and other are accounted for as contracts with customers under ASC Topic 606,</w:t>
      </w:r>
      <w:r>
        <w:rPr>
          <w:color w:val="000000"/>
        </w:rPr>
        <w:t xml:space="preserve">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tbl>
      <w:tblPr>
        <w:tblW w:w="10205" w:type="dxa"/>
        <w:jc w:val="left"/>
        <w:tblInd w:w="0" w:type="dxa"/>
        <w:tblLayout w:type="fixed"/>
        <w:tblCellMar>
          <w:top w:w="28" w:type="dxa"/>
          <w:left w:w="28" w:type="dxa"/>
          <w:bottom w:w="28" w:type="dxa"/>
          <w:right w:w="28" w:type="dxa"/>
        </w:tblCellMar>
      </w:tblPr>
      <w:tblGrid>
        <w:gridCol w:w="449"/>
        <w:gridCol w:w="394"/>
        <w:gridCol w:w="334"/>
        <w:gridCol w:w="466"/>
        <w:gridCol w:w="337"/>
        <w:gridCol w:w="338"/>
        <w:gridCol w:w="879"/>
        <w:gridCol w:w="737"/>
        <w:gridCol w:w="739"/>
        <w:gridCol w:w="739"/>
        <w:gridCol w:w="687"/>
        <w:gridCol w:w="690"/>
        <w:gridCol w:w="733"/>
        <w:gridCol w:w="565"/>
        <w:gridCol w:w="567"/>
        <w:gridCol w:w="552"/>
        <w:gridCol w:w="410"/>
        <w:gridCol w:w="589"/>
      </w:tblGrid>
      <w:tr>
        <w:trPr/>
        <w:tc>
          <w:tcPr>
            <w:tcW w:w="4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Revenue Streams</w:t>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Customer</w:t>
            </w:r>
          </w:p>
        </w:tc>
        <w:tc>
          <w:tcPr>
            <w:tcW w:w="2355" w:type="dxa"/>
            <w:gridSpan w:val="3"/>
            <w:tcBorders>
              <w:left w:val="single" w:sz="8" w:space="0" w:color="000000"/>
            </w:tcBorders>
            <w:tcMar>
              <w:top w:w="0" w:type="dxa"/>
              <w:bottom w:w="0" w:type="dxa"/>
              <w:right w:w="0" w:type="dxa"/>
            </w:tcMar>
            <w:vAlign w:val="center"/>
          </w:tcPr>
          <w:p>
            <w:pPr>
              <w:pStyle w:val="TableContents"/>
              <w:bidi w:val="0"/>
              <w:spacing w:lineRule="auto" w:line="321" w:before="0" w:after="0"/>
              <w:jc w:val="center"/>
              <w:rPr>
                <w:rFonts w:ascii="Times New Roman;serif" w:hAnsi="Times New Roman;serif"/>
                <w:b/>
                <w:color w:val="000000"/>
                <w:sz w:val="14"/>
              </w:rPr>
            </w:pPr>
            <w:r>
              <w:rPr>
                <w:rFonts w:ascii="Times New Roman;serif" w:hAnsi="Times New Roman;serif"/>
                <w:b/>
                <w:color w:val="000000"/>
                <w:sz w:val="14"/>
              </w:rPr>
              <w:t xml:space="preserve">Performance Obligations satisfied over time or </w:t>
            </w:r>
          </w:p>
          <w:p>
            <w:pPr>
              <w:pStyle w:val="TableContents"/>
              <w:bidi w:val="0"/>
              <w:spacing w:lineRule="auto" w:line="321" w:before="0" w:after="0"/>
              <w:jc w:val="center"/>
              <w:rPr/>
            </w:pPr>
            <w:r>
              <w:rPr>
                <w:rFonts w:ascii="Times New Roman;serif" w:hAnsi="Times New Roman;serif"/>
                <w:b/>
                <w:color w:val="000000"/>
                <w:sz w:val="14"/>
              </w:rPr>
              <w:t>point in time</w:t>
            </w:r>
            <w:r>
              <w:rPr>
                <w:rFonts w:ascii="Times New Roman;serif" w:hAnsi="Times New Roman;serif"/>
                <w:b w:val="false"/>
                <w:color w:val="000000"/>
                <w:sz w:val="9"/>
              </w:rPr>
              <w:t>(a)</w:t>
            </w:r>
          </w:p>
        </w:tc>
        <w:tc>
          <w:tcPr>
            <w:tcW w:w="211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Variable or Fixed Consideration</w:t>
            </w:r>
          </w:p>
        </w:tc>
        <w:tc>
          <w:tcPr>
            <w:tcW w:w="186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Revenue Recognition</w:t>
            </w:r>
          </w:p>
        </w:tc>
        <w:tc>
          <w:tcPr>
            <w:tcW w:w="1551"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pPr>
            <w:r>
              <w:rPr>
                <w:rFonts w:ascii="Times New Roman;serif" w:hAnsi="Times New Roman;serif"/>
                <w:b/>
                <w:color w:val="000000"/>
                <w:sz w:val="14"/>
              </w:rPr>
              <w:t>Classification of Uncollected Amounts</w:t>
            </w:r>
            <w:r>
              <w:rPr>
                <w:rFonts w:ascii="Times New Roman;serif" w:hAnsi="Times New Roman;serif"/>
                <w:b w:val="false"/>
                <w:color w:val="000000"/>
                <w:sz w:val="9"/>
              </w:rPr>
              <w:t>(b)</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Management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TPG funds, limited partners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Asset management services are satisfied over time (daily) because the customer receives and consumes the benefits of the advisory services daily</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Consideration is variable since over time the management fee varies based on fluctuations in the basis of the calculation of the fee</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Management fees are recognized each reporting period based on the value provided to the customer for that reporting period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Due from affiliates – unconsolidated VIEs</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Monitoring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Portfolio companies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In connection with the investment advisory services provided, the Company earns monitoring fees for providing oversight and advisory services to certain portfolio companies over time</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 w:after="283"/>
              <w:jc w:val="center"/>
              <w:rPr>
                <w:rFonts w:ascii="Times New Roman;serif" w:hAnsi="Times New Roman;serif"/>
                <w:b w:val="false"/>
                <w:color w:val="000000"/>
                <w:sz w:val="14"/>
              </w:rPr>
            </w:pPr>
            <w:r>
              <w:rPr>
                <w:rFonts w:ascii="Times New Roman;serif" w:hAnsi="Times New Roman;serif"/>
                <w:b w:val="false"/>
                <w:color w:val="000000"/>
                <w:sz w:val="14"/>
              </w:rPr>
              <w:t>Consideration is variable when based on fluctuations in the basis of the calculation of the fee</w:t>
            </w:r>
          </w:p>
          <w:p>
            <w:pPr>
              <w:pStyle w:val="TableContents"/>
              <w:bidi w:val="0"/>
              <w:spacing w:lineRule="auto" w:line="288" w:before="120" w:after="283"/>
              <w:jc w:val="center"/>
              <w:rPr>
                <w:rFonts w:ascii="Times New Roman;serif" w:hAnsi="Times New Roman;serif"/>
                <w:b w:val="false"/>
                <w:color w:val="000000"/>
                <w:sz w:val="14"/>
              </w:rPr>
            </w:pPr>
            <w:r>
              <w:rPr>
                <w:rFonts w:ascii="Times New Roman;serif" w:hAnsi="Times New Roman;serif"/>
                <w:b w:val="false"/>
                <w:color w:val="000000"/>
                <w:sz w:val="14"/>
              </w:rPr>
              <w:t>Consideration is fixed when based on a fixed agreed-upon amount</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Monitoring fees are recognized each reporting period based on the value provided to the customer for that reporting period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Due from affiliates – portfolio companies</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Transaction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Portfolio companies, third-parties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The company provides advisory services, debt and equity arrangements, and underwriting and placement services for a fee at a point in time</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Consideration is fixed and is based on a point in time</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Transaction fees are recognized on or shortly after the transaction is completed </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4"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Due from affiliates – portfolio companies </w:t>
            </w:r>
          </w:p>
          <w:p>
            <w:pPr>
              <w:pStyle w:val="TableContents"/>
              <w:bidi w:val="0"/>
              <w:spacing w:lineRule="auto" w:line="288" w:before="120" w:after="283"/>
              <w:jc w:val="center"/>
              <w:rPr>
                <w:rFonts w:ascii="Times New Roman;serif" w:hAnsi="Times New Roman;serif"/>
                <w:b w:val="false"/>
                <w:color w:val="000000"/>
                <w:sz w:val="14"/>
              </w:rPr>
            </w:pPr>
            <w:r>
              <w:rPr>
                <w:rFonts w:ascii="Times New Roman;serif" w:hAnsi="Times New Roman;serif"/>
                <w:b w:val="false"/>
                <w:color w:val="000000"/>
                <w:sz w:val="14"/>
              </w:rPr>
              <w:t>Other assets – other</w:t>
            </w:r>
          </w:p>
        </w:tc>
      </w:tr>
      <w:tr>
        <w:trPr/>
        <w:tc>
          <w:tcPr>
            <w:tcW w:w="11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Incentive Fees</w:t>
            </w:r>
          </w:p>
        </w:tc>
        <w:tc>
          <w:tcPr>
            <w:tcW w:w="11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TPG funds, limited partners and other vehicles</w:t>
            </w:r>
          </w:p>
        </w:tc>
        <w:tc>
          <w:tcPr>
            <w:tcW w:w="23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Investment management services performed over a period of time that result in achievement of minimum investment return levels</w:t>
            </w:r>
          </w:p>
        </w:tc>
        <w:tc>
          <w:tcPr>
            <w:tcW w:w="21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Consideration is variable since incentive fees are contingent upon the TPG Fund or vehicles achieving more than the stipulated investment threshold return</w:t>
            </w:r>
          </w:p>
        </w:tc>
        <w:tc>
          <w:tcPr>
            <w:tcW w:w="18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Incentive fees are recognized at the end of the performance measurement period if the investment performance is achieved</w:t>
            </w:r>
          </w:p>
        </w:tc>
        <w:tc>
          <w:tcPr>
            <w:tcW w:w="155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Due from affiliates – unconsolidated VIEs</w:t>
            </w:r>
          </w:p>
        </w:tc>
      </w:tr>
      <w:tr>
        <w:trPr/>
        <w:tc>
          <w:tcPr>
            <w:tcW w:w="11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 xml:space="preserve">Expense </w:t>
            </w:r>
          </w:p>
          <w:p>
            <w:pPr>
              <w:pStyle w:val="TableContents"/>
              <w:bidi w:val="0"/>
              <w:spacing w:lineRule="auto" w:line="288" w:before="0" w:after="0"/>
              <w:jc w:val="center"/>
              <w:rPr>
                <w:rFonts w:ascii="Times New Roman;serif" w:hAnsi="Times New Roman;serif"/>
                <w:b/>
                <w:color w:val="242424"/>
                <w:sz w:val="14"/>
              </w:rPr>
            </w:pPr>
            <w:r>
              <w:rPr>
                <w:rFonts w:ascii="Times New Roman;serif" w:hAnsi="Times New Roman;serif"/>
                <w:b/>
                <w:color w:val="242424"/>
                <w:sz w:val="14"/>
              </w:rPr>
              <w:t>Reimbursements and other</w:t>
            </w:r>
          </w:p>
        </w:tc>
        <w:tc>
          <w:tcPr>
            <w:tcW w:w="11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TPG funds, portfolio companies and third-parties</w:t>
            </w:r>
          </w:p>
        </w:tc>
        <w:tc>
          <w:tcPr>
            <w:tcW w:w="23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Expense reimbursements incurred at a point in time relate to providing investment, management and monitoring services. Other revenue is performed over time</w:t>
            </w:r>
          </w:p>
        </w:tc>
        <w:tc>
          <w:tcPr>
            <w:tcW w:w="21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Expense reimbursements and other are fixed consideration</w:t>
            </w:r>
          </w:p>
        </w:tc>
        <w:tc>
          <w:tcPr>
            <w:tcW w:w="18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Expense reimbursements and other are recognized as the expenses are incurred or services are rendered</w:t>
            </w:r>
          </w:p>
        </w:tc>
        <w:tc>
          <w:tcPr>
            <w:tcW w:w="155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2" w:after="283"/>
              <w:jc w:val="center"/>
              <w:rPr>
                <w:rFonts w:ascii="Times New Roman;serif" w:hAnsi="Times New Roman;serif"/>
                <w:b w:val="false"/>
                <w:color w:val="000000"/>
                <w:sz w:val="14"/>
              </w:rPr>
            </w:pPr>
            <w:r>
              <w:rPr>
                <w:rFonts w:ascii="Times New Roman;serif" w:hAnsi="Times New Roman;serif"/>
                <w:b w:val="false"/>
                <w:color w:val="000000"/>
                <w:sz w:val="14"/>
              </w:rPr>
              <w:t>Due from affiliates – portfolio companies and unconsolidated VIEs</w:t>
            </w:r>
          </w:p>
          <w:p>
            <w:pPr>
              <w:pStyle w:val="TableContents"/>
              <w:bidi w:val="0"/>
              <w:spacing w:lineRule="auto" w:line="288" w:before="120" w:after="283"/>
              <w:jc w:val="center"/>
              <w:rPr>
                <w:rFonts w:ascii="Times New Roman;serif" w:hAnsi="Times New Roman;serif"/>
                <w:b w:val="false"/>
                <w:color w:val="000000"/>
                <w:sz w:val="14"/>
              </w:rPr>
            </w:pPr>
            <w:r>
              <w:rPr>
                <w:rFonts w:ascii="Times New Roman;serif" w:hAnsi="Times New Roman;serif"/>
                <w:b w:val="false"/>
                <w:color w:val="000000"/>
                <w:sz w:val="14"/>
              </w:rPr>
              <w:t>Other assets – other</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(a)There were no significant judgments made in evaluating when a customer obtains control of the promised service for performance obligations satisfied at a point in time.</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(b)See Note 10 to the Condensed Consolidated Financial Statements for amounts classified in due from affiliates.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Management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investment management services to the TPG funds, limited partners, separately managed accounts (“SMAs”) and clients, and other vehicles in exchange for a management fee. Management fees also include catch-up fees, also known as out-of-period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However, as these fees are payable on a regular basis, the uncertainty relating to the constraint becomes resolved and revenue is accordingly recognized at the end of the period. After the contract is established, management does not make any significant judgments in determining the transaction price. </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fee rates generally range between the following:</w:t>
      </w:r>
    </w:p>
    <w:tbl>
      <w:tblPr>
        <w:tblW w:w="5046" w:type="dxa"/>
        <w:jc w:val="left"/>
        <w:tblInd w:w="0" w:type="dxa"/>
        <w:tblLayout w:type="fixed"/>
        <w:tblCellMar>
          <w:top w:w="28" w:type="dxa"/>
          <w:left w:w="28" w:type="dxa"/>
          <w:bottom w:w="28" w:type="dxa"/>
          <w:right w:w="28" w:type="dxa"/>
        </w:tblCellMar>
      </w:tblPr>
      <w:tblGrid>
        <w:gridCol w:w="1000"/>
        <w:gridCol w:w="878"/>
        <w:gridCol w:w="882"/>
        <w:gridCol w:w="109"/>
        <w:gridCol w:w="109"/>
        <w:gridCol w:w="109"/>
        <w:gridCol w:w="255"/>
        <w:gridCol w:w="256"/>
        <w:gridCol w:w="271"/>
        <w:gridCol w:w="109"/>
        <w:gridCol w:w="109"/>
        <w:gridCol w:w="109"/>
        <w:gridCol w:w="255"/>
        <w:gridCol w:w="256"/>
        <w:gridCol w:w="339"/>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 fee 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Committed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Actively invested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funded capital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Condensed Consolidated Statements of Operations. For the three and six months ended June 30, 2026, these amounts totaled $5.6 million and $14.3 million, respectively. For the three and six months ended June 30, 2025, these amounts totaled $11.3 million and $18.4 million, respectively. Amounts payable to investment funds are recorded in due to affiliates in the Condensed Consolidated Financial Statements. See Note 10 to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Monitoring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Monitoring fees are earned for providing oversight and advisory services to certain portfolio companies. Monitoring fees are based upon the contractual terms of the related agreements with the underlying portfolio company and are recognized as such services are provided. After the monitoring contract is established, there are no significant judgments made in determining the transaction price.</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Transaction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Incentive Fees</w:t>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 xml:space="preserve">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w:t>
      </w:r>
      <w:r>
        <w:rPr>
          <w:rFonts w:ascii="Times New Roman;serif" w:hAnsi="Times New Roman;serif"/>
          <w:b w:val="false"/>
          <w:color w:val="000000"/>
          <w:sz w:val="20"/>
        </w:rPr>
        <w:t>as these fees are affected by changes in the fair value of investments over the performance period. The Company</w:t>
      </w:r>
      <w:r>
        <w:rPr>
          <w:color w:val="000000"/>
          <w:shd w:fill="FFFFFF" w:val="clear"/>
        </w:rPr>
        <w:t xml:space="preserve"> </w:t>
      </w:r>
      <w:r>
        <w:rPr>
          <w:rFonts w:ascii="Times New Roman;serif" w:hAnsi="Times New Roman;serif"/>
          <w:b w:val="false"/>
          <w:color w:val="000000"/>
          <w:sz w:val="20"/>
          <w:shd w:fill="FFFFFF" w:val="clear"/>
        </w:rPr>
        <w:t>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Expense Reimbursements and Other</w:t>
      </w:r>
    </w:p>
    <w:p>
      <w:pPr>
        <w:pStyle w:val="TextBody"/>
        <w:bidi w:val="0"/>
        <w:spacing w:lineRule="auto" w:line="288" w:before="240" w:after="283"/>
        <w:ind w:left="0" w:right="0" w:firstLine="540"/>
        <w:jc w:val="both"/>
        <w:rPr/>
      </w:pPr>
      <w:r>
        <w:rPr>
          <w:rFonts w:ascii="Times New Roman;serif" w:hAnsi="Times New Roman;serif"/>
          <w:b w:val="false"/>
          <w:color w:val="000000"/>
          <w:sz w:val="20"/>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w:t>
      </w:r>
      <w:r>
        <w:rPr>
          <w:color w:val="000000"/>
        </w:rPr>
        <w:t xml:space="preserve"> </w:t>
      </w:r>
      <w:r>
        <w:rPr>
          <w:rFonts w:ascii="Times New Roman;serif" w:hAnsi="Times New Roman;serif"/>
          <w:b w:val="false"/>
          <w:color w:val="000000"/>
          <w:sz w:val="20"/>
        </w:rPr>
        <w:t>Condensed Consolidated Financial Statements. After the contract is established, there are no significant judgments made when determining the transaction price.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Capital Allocation-Based Income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are paid when the associated side pocket investments are realized.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Condensed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June 30, 2026 related to clawback, see Note 12 to the Condensed Consolidated Financial Statements. Revenue related to performance allocations for consolidated TPG funds is eliminated in consolidation.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is North America and the majority of its revenues from contracts with customers is also generated in North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Investment Income</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Income from Investments Held for Sale and 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from investments held for sale and other includes unrealized gains and losses resulting from changes in the fair value of these investments during the period. Income from investments held for sale and other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 for which the Fair Value Option Was Elected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Income from Equity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from equity investments, which represent investments held through equity securities of an investee that the Company does not hold significant influence over, includes realized gains from the sale of investments and unrealized gains and losses result from observable price changes in orderly transactions for the identical or a similar investment of the same issuer. Income from equity investments is recorded in net gains (losses) from investment activities on the Condensed Consolidated Financial Statements.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Interest, Dividends and Other</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recognized as earned. Dividend income is recognized by the Company on the ex-dividend date, or in the absence of a formal declaration, on the date it is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Cash-based compensation and benefits includes (i) salaries and wages, (ii) benefits and (iii) discretionary cash bonuses. Bonuses are accrued over the service period to which they relate.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tranche-by-tranche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in which they occur as a reversal of previously recognized compensation expense.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Net Income (Loss) Per Share of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applies the treasury stock method to determine the dilutive weighted-average common shares represented by the unvested restricted stock units (“RSUs”). The Company applies the if-converted method to the TPG Operating Group partnership units to determine the dilutive impact, if any, of the exchange right included in the TPG Operating Group partnership units.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on deposit with banks and other short-term investments with an initial maturity of 90 days or less. Restricted cash balances relate to cash balances reserved for the payment of interest on the Company’s privately placed securitization notes (“Secured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ASC 820 establishes a fair value hierarchy that prioritizes and ranks the level of observability of inputs used to measure financial assets and liabilities reported at fair value. The observability of inputs is impacted by a number of factors, including the type of instrument, characteristics specific to the instrument, market conditions and other factors. The hierarchy gives the highest priority to unadjusted quoted prices in active markets for identical assets or liabilities (Level I measurements) and the lowest priority to unobservable inputs (Level III measurements).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with readily available quoted prices or for which fair value can be measured from quoted prices in active markets will typically have a higher degree of input observability and a lesser degree of judgment applied in determining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three levels of the fair value hierarchy under ASC 820 are as follows: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I – Quoted prices (unadjusted) in active markets for identical financial instruments at the measurement date are used. The types of instruments generally included in Level I are publicly listed equities and debt.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II – Pricing inputs are other than quoted prices included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instruments generally included in Level II are restricted securities listed in active markets, corporate bonds and loans.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III – Pricing inputs are unobservable and include situations where there is little, if any, market activity for the financial instrument. The inputs used in determination of fair value require significant judgment and estimation. The types of instruments generally included in Level III are privately held debt, equity securities and contingent consideration.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some cases, the inputs used to measure fair value might fall within different levels of the fair value hierarchy. In such cases, the level in the fair value hierarchy within which the instrument is categorized in its entirety is determined based on the lowest level input that is significant to the instrument. Assessing the significance of a particular input to the valuation of an instrument in its entirety requires judgment and considers factors specific to the instrument. The categorization of an instrument within the hierarchy is based upon the pricing transparency of the instrument and does not necessarily correspond to the perceived risk of that instrument.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instances, an instrument that is measured and reported at fair value may be transferred into or out of Level I, II, or III of the fair value hierarchy.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certain cases, debt and equity securities are valued on the basis of prices from an orderly transaction between market participants provided by reputable dealers or pricing services. In determining the value of a particular instrument, pricing services may use certain information with respect to transactions in such instruments, quotations from dealers, pricing matrices, market transactions of comparable instruments and various relationships between instruments. When a security is valued based on dealer quotes, the Company subjects those quotes to various criteria in making the determination as to whether a particular instrument would qualify for treatment as a Level II or Level III instrument. Some of the factors considered include the number and quality of quotes, the standard deviations of the observed quotes and the corroboration of the quotes to independent pricing services.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III instruments may include common and preferred equity securities, corporate debt, other privately issued securities and contingent consideration.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Condensed Consolidated Financial Statements may differ materially from values that would have been used had a readily available market for the instruments existed and may differ materially from the values that may ultimately be realized. The period of time over which the underlying assets of the instruments will be liquidated is unknown.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Due From and Due To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Company accounts for business combinations using the acquisition method under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under which the purchase price of the acquisition is allocated to the assets acquired and liabilities assumed generally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consideration transferred, the fair value in any non-controlling interest in the acquiree and the fair value of any previously held equity interest in the acquiree over the net of the acquisition-date values of the identifiable assets and liabilities assumed.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an assessment to determine if it is more likely than not that the fair value of the Company’s reporting unit is less than its respective carrying value. If it is determined that it is more likely than not that the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June 30, 2026, we believe it is more likely than not that the fair value of our reporting unit exceeds its carrying value.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intangible assets primarily consist of the fair value of its interests in future performance allocations from certain funds and the fair value of acquired investor relationships representing the fair value of management fees earned from existing investors in future funds. Finite-lived intangible assets are amortized over their estimated useful lives, which range from two to 13 years, and are reviewed for impairment whenever events or changes in circumstances indicate that the carrying amount of the intangible asset may not be recoverable. Amortization expense is included in depreciation and amortization expense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If the discount rate implicit to the lease is not readily determinable, incremental borrowing rates of the Company are used. The incremental borrowing rates are based on the information available including collateral assumptions, the term of the lease, and the economic environment in which the lease is denominated at the commencement date.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The Company elected the package of practical expedients provided under the guidance. The practical expedient package applies to leases commenced prior to the adoption of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items such as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leases primarily consist of operating leases for real estate, which have remaining terms of one to 15 years. Some of those leases include options to extend for additional terms ranging from one to 10 years. The Company’s other leases, including those for office equipment, vehicles and aircraft, are not significant. Additionally, the Company’s leases do not contain restrictions or covenants that restrict the Company from incurring other financial obligations. The Company also does not provide any residual value guarantees for the leases. From time to time, the Company enters into certain sublease agreements that have terms similar to the remaining terms of the master lease agreements between TPG and the landlord. Sublease income is recorded as an offset to general, administrative and other in the accompanying Condensed Consolidated Financial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straight-line basis over the lease term and is recorded within general, administrative and other in the accompanying Condensed Consolidated Financial Statements (see Note 11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Fixed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Fixed assets consist primarily of leasehold improvements, furniture, fixtures and equipment, computer hardware and software and other fixed assets which are recorded at cost, less accumulated depreciation.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Upon the occurrence of a triggering event,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 2026, the Company changed the functional currency of certain of its international subsidiaries from the U.S. dollar to the local currency due to the Company’s continued exposure to foreign currency cash flows as part of the Company’s growth and expansion internationally.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Non-U.S. dollar denominated assets and liabilities of foreign operations are translated at rates of exchange as of the end of the reporting period. Non-U.S. dollar denominated revenues and expenses from foreign operations are translated using average rates of exchange during the period. Gains and losses resulting from translation are included in accumulated other comprehensive income on the Condensed Consolidated Statements of Financial Condition. Transactions denominated in currencies other than the functional currency that create foreign exchange gains and losses are recorded within fees and other on the Condensed Consolidated Statements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through its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Condensed Consolidated Statements of Financial Condition. The amount borrowed is the amount equal to the debt investment outstanding in the CLO. Interest income earned and interest expense incurred on the repurchase obligation are reported on the Condensed Consolidated Statements of Operations. Accrued interest receivable on investments is included in other assets and accrued interest payable on repurchase agreements is included in accounts payable and accrued expenses on the Condensed Consolidated Statements of Financial Condition.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Condensed Consolidated Statements of Financial Condition. Cash received under a repurchase agreement is recognized as a liability within other liabilities in the Condensed Consolidated Statements of Financial Condition. Interest expense is recognized on an effective yield basis and is included within interest expense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United States (federal, state and local) and foreign jurisdictions as a result of their entity classification for tax reporting purposes. The provision for income taxes in the historical Condensed Consolidated Financial Statements consists of U.S. (federal, state and local) and foreign income taxes with respect to certain consolidated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Under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Condensed Consolidated Financial Statements.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provides a variety of fee-based asset management services to the TPG funds, limited partners, SMAs and clients, and other vehicles, primarily in North America. The Company is also entitled to performance allocations from the TPG funds when the Company has a general partner interest. The Company operates its business as a single operating and reportable segment, as the Company’s chief operating decision maker (the “CODM”), its Chief Executive Officer (“CEO”), manages the business on a consolidated basis. The segment expenses regularly provided to the CODM are the same as those shown on the Company’s Condensed Consolidated Statement of Operations. The Company operates collaboratively across product lines through shared investment themes and relies on shared support functions that span across product lines. The CODM uses consolidated net income as one of the primary measures to make resource allocation decisions and assess the performance of the Company across reporting periods. There is no difference between segment assets and total consolidated assets. As the Company operates as a single segment, the accounting policies utilized by the segment are consistent with those included in the Condensed Consolidated Financial Statements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ASU 2024-03 aims to enhance transparency for users of financial statements by requiring public business entities to provide more detailed information about the types of expenses in commonly presented expense captions. In particular, ASU 2024-03 contains new required tabular disclosures related to the amounts of specified natural expenses (e.g., employee compensation, depreciation, intangible asset amortization) disclosed in a particular expense caption. Additionally, ASU 2024-03 clarifies that certain other expenses and gains or losses that must be disclosed under existing U.S. GAAP recorded in a relevant expense caption must also be presented in the same tabular disclosure. Lastly, ASU 2024-03 requires separate disclosure of selling expenses. ASU 2024-03 is effective for the Company beginning after December 15, 2026, and interim reporting periods within annual reporting periods beginning after December 15, 2027, with early adoption permitted. The Company is currently evaluating the impact of adoption of ASU 2024-03 on its Condensed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Peppertree Acquisition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(the “Peppertree Acquisition Date”), the Company and certain of its affiliated entities completed the acquisition (the “Peppertree Acquisition”) of the business of Peppertree Capital Management, Inc. (“Peppertree”) pursuant to the terms and conditions set forth in the transaction agreement (the “Peppertree Transaction Agreement”), as amended May 28, 2025, with Peppertree and certain affiliated entities and equity holders thereof (together with Peppertree, the “Peppertree Parties”), a specialized digital infrastructure investment firm with a focus on wireless communications towers.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Peppertree Acquisition, the Company expanded its platform diversity, with Peppertree’s alternative investment focus in wireless communications towers and related critical communication infrastructure assets.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Peppertree Acquisition as a business combination under ASC 805, with assets acquired and liabilities assumed recorded at fair value as of July 1, 2025, subject to adjustments for provisional amounts through the measurement period, which is limited to one year from the Peppertree Acquisition Date.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Peppertree Transaction Agreement, the Company acquired Peppertree for both cash and non-cash consideration under U.S. GAAP equal to $389.6 million (“Peppertree Purchase Price”) as described below. The following table summarizes the fair value of amounts recognized for the assets acquired and liabilities assumed and resulting goodwill as of the Peppertree Acquisition Date (in thousands):</w:t>
      </w:r>
    </w:p>
    <w:tbl>
      <w:tblPr>
        <w:tblW w:w="7596" w:type="dxa"/>
        <w:jc w:val="center"/>
        <w:tblInd w:w="0" w:type="dxa"/>
        <w:tblLayout w:type="fixed"/>
        <w:tblCellMar>
          <w:top w:w="28" w:type="dxa"/>
          <w:left w:w="28" w:type="dxa"/>
          <w:bottom w:w="28" w:type="dxa"/>
          <w:right w:w="28" w:type="dxa"/>
        </w:tblCellMar>
      </w:tblPr>
      <w:tblGrid>
        <w:gridCol w:w="2319"/>
        <w:gridCol w:w="2039"/>
        <w:gridCol w:w="2047"/>
        <w:gridCol w:w="211"/>
        <w:gridCol w:w="826"/>
        <w:gridCol w:w="154"/>
      </w:tblGrid>
      <w:tr>
        <w:trPr/>
        <w:tc>
          <w:tcPr>
            <w:tcW w:w="231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1, 2025</w:t>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Purchase Price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20"/>
              </w:rPr>
              <w:t>Cash</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235,659 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erif" w:hAnsi="Times New Roman;serif"/>
                <w:b w:val="false"/>
                <w:color w:val="000000"/>
                <w:sz w:val="20"/>
              </w:rPr>
              <w:t>Nonvoting Class A common stock</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153,973 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389,632 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Recognized amounts of identifiable assets acquired and liabilities assumed </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561,945 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817,362 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allocation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acquired/liabilities assumed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of Peppertree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(a)Cash consideration includes $2.5 million held in escrow on behalf of the sellers.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(b)Represents the fair value of approximately 2.9 million shares of nonvoting Class A common stock issued to certain Peppertree Parties upon consummation of the Peppertree Acquisition. The fair value of the shares of nonvoting Class A common stock was based on a $52.84 closing price for the shares of Class A common stock on the Peppertree Acquisition Date.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Peppertree Transaction Agreement, the Company granted 5.4 million Common Units of TPG Operating Group (including an equal number of shares of Class B common stock of the Company) and 0.3 million restricted stock units of the Company to certain Peppertree Parties, which are deemed to be compensatory under U.S. GAAP and are not part of the Purchase Price. Additionally, certain Peppertree Parties will be entitled to an earnout payment of up to $300.0 million (the “Peppertree Earnout Payment”) upon the satisfaction of certain fee-related revenue and fundraising targets by Peppertree, payable, at the Company’s election and subject to certain limitations set forth in the Peppertree Transaction Agreement, in cash, Common Units (including an equal number of shares of Class B common stock) or a combination thereof. The Peppertree Earnout Payment is treated as post-combination compensation expense, as services are required from such Peppertree Parties post-closing. See Note 14 to the Condensed Consolidated Financial Statements for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Purchase Price was allocated to the fair value of assets acquired and liabilities assumed as of the Peppertree Acquisition Date, with the excess Purchase Price recorded as goodwill. A third-party valuation specialist assisted the Company with the fair value estimates for the assets acquired and liabilities assumed. The Company recorded $62.1 million of goodwill as of the Peppertree Acquisition Date. Goodwill is primarily attributable to the scale, skill sets, operations and expected synergies that can be achieved subsequent to the Acquisition. The goodwill recorded is not deductible for tax purposes.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and weighted average estimated useful lives of the acquired identifiable intangible assets as of the Peppertree Acquisition Date consist of the following (in thousands):</w:t>
      </w:r>
    </w:p>
    <w:tbl>
      <w:tblPr>
        <w:tblW w:w="10205" w:type="dxa"/>
        <w:jc w:val="center"/>
        <w:tblInd w:w="0" w:type="dxa"/>
        <w:tblLayout w:type="fixed"/>
        <w:tblCellMar>
          <w:top w:w="28" w:type="dxa"/>
          <w:left w:w="28" w:type="dxa"/>
          <w:bottom w:w="28" w:type="dxa"/>
          <w:right w:w="28" w:type="dxa"/>
        </w:tblCellMar>
      </w:tblPr>
      <w:tblGrid>
        <w:gridCol w:w="970"/>
        <w:gridCol w:w="850"/>
        <w:gridCol w:w="855"/>
        <w:gridCol w:w="211"/>
        <w:gridCol w:w="826"/>
        <w:gridCol w:w="109"/>
        <w:gridCol w:w="109"/>
        <w:gridCol w:w="109"/>
        <w:gridCol w:w="109"/>
        <w:gridCol w:w="1075"/>
        <w:gridCol w:w="1061"/>
        <w:gridCol w:w="1065"/>
        <w:gridCol w:w="109"/>
        <w:gridCol w:w="109"/>
        <w:gridCol w:w="109"/>
        <w:gridCol w:w="737"/>
        <w:gridCol w:w="737"/>
        <w:gridCol w:w="1055"/>
      </w:tblGrid>
      <w:tr>
        <w:trPr/>
        <w:tc>
          <w:tcPr>
            <w:tcW w:w="97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Methodology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Average Useful Life (in years)</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Multi-period excess earnings method ("MPEEM")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performance fee 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Discounted cash flow analysis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Relief from royalty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intangible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recognized $3.0 million and $11.9 million in acquisition-related costs during the three and six months ended June 30, 2025, respectively. These costs are included within general, administrative and other expenses in the Condensed Consolidated Statements of Operations.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information presents a summary of the Company’s Condensed Consolidated Statements of Operations for the three and six months ended June 30, 2025, as if the acquisition was completed as of January 1, 2024 (in thousands): </w:t>
      </w:r>
    </w:p>
    <w:tbl>
      <w:tblPr>
        <w:tblW w:w="10106" w:type="dxa"/>
        <w:jc w:val="left"/>
        <w:tblInd w:w="0" w:type="dxa"/>
        <w:tblLayout w:type="fixed"/>
        <w:tblCellMar>
          <w:top w:w="28" w:type="dxa"/>
          <w:left w:w="28" w:type="dxa"/>
          <w:bottom w:w="28" w:type="dxa"/>
          <w:right w:w="28" w:type="dxa"/>
        </w:tblCellMar>
      </w:tblPr>
      <w:tblGrid>
        <w:gridCol w:w="1673"/>
        <w:gridCol w:w="1465"/>
        <w:gridCol w:w="1482"/>
        <w:gridCol w:w="109"/>
        <w:gridCol w:w="109"/>
        <w:gridCol w:w="450"/>
        <w:gridCol w:w="1762"/>
        <w:gridCol w:w="232"/>
        <w:gridCol w:w="109"/>
        <w:gridCol w:w="109"/>
        <w:gridCol w:w="109"/>
        <w:gridCol w:w="109"/>
        <w:gridCol w:w="109"/>
        <w:gridCol w:w="358"/>
        <w:gridCol w:w="1660"/>
        <w:gridCol w:w="261"/>
      </w:tblGrid>
      <w:tr>
        <w:trPr/>
        <w:tc>
          <w:tcPr>
            <w:tcW w:w="1673"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388" w:type="dxa"/>
            <w:gridSpan w:val="4"/>
            <w:tcBorders/>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975,896 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2,051,773 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TPG Inc./controlling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These pro forma amounts have been calculated after applying the following material adjustments that were directly attributable to the Peppertree Acquisition: </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adjustments to include the impact of the additional amortization that would have been recorded assuming the fair value adjustments to intangible assets had been applied on January 1, 2024;</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adjustments to include additional equity-based compensation expense related to Common Units and restricted stock units issued to Peppertree Parties, as if the grants occurred on January 1, 2024;</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adjustments for changes in the performance allocation compensation to Peppertree Parties in connection with the Peppertree Acquisition; and</w:t>
      </w:r>
    </w:p>
    <w:p>
      <w:pPr>
        <w:pStyle w:val="TextBody"/>
        <w:bidi w:val="0"/>
        <w:spacing w:lineRule="auto" w:line="288" w:before="240" w:after="283"/>
        <w:ind w:left="0" w:right="0" w:hanging="540"/>
        <w:jc w:val="left"/>
        <w:rPr/>
      </w:pPr>
      <w:r>
        <w:rPr>
          <w:color w:val="000000"/>
        </w:rPr>
        <w:t>•</w:t>
      </w:r>
      <w:r>
        <w:rPr>
          <w:rFonts w:ascii="Times New Roman;serif" w:hAnsi="Times New Roman;serif"/>
          <w:b w:val="false"/>
          <w:color w:val="000000"/>
          <w:sz w:val="20"/>
        </w:rPr>
        <w:t>adjustments to include transaction costs in net income as if the Peppertree Acquisition occurred on January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Investments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 (in thousands):</w:t>
      </w:r>
    </w:p>
    <w:tbl>
      <w:tblPr>
        <w:tblW w:w="10205" w:type="dxa"/>
        <w:jc w:val="left"/>
        <w:tblInd w:w="0" w:type="dxa"/>
        <w:tblLayout w:type="fixed"/>
        <w:tblCellMar>
          <w:top w:w="28" w:type="dxa"/>
          <w:left w:w="28" w:type="dxa"/>
          <w:bottom w:w="28" w:type="dxa"/>
          <w:right w:w="28" w:type="dxa"/>
        </w:tblCellMar>
      </w:tblPr>
      <w:tblGrid>
        <w:gridCol w:w="2577"/>
        <w:gridCol w:w="2265"/>
        <w:gridCol w:w="2270"/>
        <w:gridCol w:w="211"/>
        <w:gridCol w:w="976"/>
        <w:gridCol w:w="109"/>
        <w:gridCol w:w="109"/>
        <w:gridCol w:w="109"/>
        <w:gridCol w:w="109"/>
        <w:gridCol w:w="231"/>
        <w:gridCol w:w="1069"/>
        <w:gridCol w:w="170"/>
      </w:tblGrid>
      <w:tr>
        <w:trPr/>
        <w:tc>
          <w:tcPr>
            <w:tcW w:w="2577"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797" w:type="dxa"/>
            <w:gridSpan w:val="6"/>
            <w:tcBorders/>
          </w:tcPr>
          <w:p>
            <w:pPr>
              <w:pStyle w:val="TableContents"/>
              <w:bidi w:val="0"/>
              <w:spacing w:before="0" w:after="283"/>
              <w:jc w:val="left"/>
              <w:rPr>
                <w:sz w:val="4"/>
                <w:szCs w:val="4"/>
              </w:rPr>
            </w:pPr>
            <w:r>
              <w:rPr>
                <w:sz w:val="4"/>
                <w:szCs w:val="4"/>
              </w:rPr>
            </w:r>
          </w:p>
        </w:tc>
      </w:tr>
      <w:tr>
        <w:trPr/>
        <w:tc>
          <w:tcPr>
            <w:tcW w:w="7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 performance allocations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method - capital interests (includes assets pledged of $384,894 and $521,124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1,801,436 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bookmarkStart w:id="0" w:name="icf557dcc4e984866a824f143cfba8375_6-0-1-"/>
            <w:bookmarkEnd w:id="0"/>
            <w:r>
              <w:rPr>
                <w:rFonts w:ascii="Times New Roman;serif" w:hAnsi="Times New Roman;serif"/>
                <w:b w:val="false"/>
                <w:color w:val="000000"/>
                <w:sz w:val="20"/>
              </w:rPr>
              <w:t>Investments held to maturity, at amortized cost (includes assets pledged of $76,924 and $82,198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7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9,211,816 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gains (losses) from performance allocations and capital interests are disclosed in the Revenue section of Note 2 to the Condensed Consolidated Financial Statements. The following table summarizes net gains (losses) from investment activities (in thousands):</w:t>
      </w:r>
    </w:p>
    <w:tbl>
      <w:tblPr>
        <w:tblW w:w="10046" w:type="dxa"/>
        <w:jc w:val="left"/>
        <w:tblInd w:w="0" w:type="dxa"/>
        <w:tblLayout w:type="fixed"/>
        <w:tblCellMar>
          <w:top w:w="28" w:type="dxa"/>
          <w:left w:w="28" w:type="dxa"/>
          <w:bottom w:w="28" w:type="dxa"/>
          <w:right w:w="28" w:type="dxa"/>
        </w:tblCellMar>
      </w:tblPr>
      <w:tblGrid>
        <w:gridCol w:w="1652"/>
        <w:gridCol w:w="1452"/>
        <w:gridCol w:w="1456"/>
        <w:gridCol w:w="234"/>
        <w:gridCol w:w="768"/>
        <w:gridCol w:w="121"/>
        <w:gridCol w:w="121"/>
        <w:gridCol w:w="121"/>
        <w:gridCol w:w="121"/>
        <w:gridCol w:w="234"/>
        <w:gridCol w:w="601"/>
        <w:gridCol w:w="121"/>
        <w:gridCol w:w="109"/>
        <w:gridCol w:w="109"/>
        <w:gridCol w:w="109"/>
        <w:gridCol w:w="211"/>
        <w:gridCol w:w="796"/>
        <w:gridCol w:w="109"/>
        <w:gridCol w:w="109"/>
        <w:gridCol w:w="109"/>
        <w:gridCol w:w="109"/>
        <w:gridCol w:w="211"/>
        <w:gridCol w:w="691"/>
        <w:gridCol w:w="109"/>
        <w:gridCol w:w="109"/>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of equity method investments - other</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gains from equity investments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of investments held for sale and other</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losses from investment activities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Investments Held to Maturity, at Amortized Cost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value of investments held to maturity is included in investments on the Condensed Consolidated Statements of Financial Condition. The Company estimates an allowance for credit losses (“ACL”) on the investments classified as held to maturity securities. The fair value of investments held to maturity, excluding any reserves for credit losses, was $86.5 million and $90.0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evaluates its equity method investments in which it has not elected the fair value option for impairment whenever events or changes in circumstances indicate that the carrying amounts of such investments may not be recoverable. During the three and six months ended June 30, 2026 and 2025, the Company did not recognize any impairment losses on an equity method investment.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11, 2026, the Company entered into a long-term, strategic investment management partnership (the “Jackson Transaction”) with Jackson Financial Inc. (“Jackson”) whereby the Company will serve as an investment manager for select general account assets of subsidiaries of Jackson. In connection with the Transaction, the TPG Operating Group purchased 4,715,554 shares of common stock. The fair value of the shares purchased are included in Investments on the Condensed Consolidated Statements of Financial Condition and, as the shares purchased have a readily determinable fair value, changes in fair value are recorded within net gains (losses) from investment activities in the Company’s Condensed Consolidated Statements of Operations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valuation of the Company’s assets and liabilities that fall within the fair value hierarchy (in thousands):</w:t>
      </w:r>
    </w:p>
    <w:p>
      <w:pPr>
        <w:pStyle w:val="TextBody"/>
        <w:bidi w:val="0"/>
        <w:spacing w:before="0" w:after="0"/>
        <w:jc w:val="both"/>
        <w:rPr/>
      </w:pPr>
      <w:r>
        <w:rPr/>
      </w:r>
    </w:p>
    <w:tbl>
      <w:tblPr>
        <w:tblW w:w="8684" w:type="dxa"/>
        <w:jc w:val="left"/>
        <w:tblInd w:w="0" w:type="dxa"/>
        <w:tblLayout w:type="fixed"/>
        <w:tblCellMar>
          <w:top w:w="28" w:type="dxa"/>
          <w:left w:w="28" w:type="dxa"/>
          <w:bottom w:w="28" w:type="dxa"/>
          <w:right w:w="28" w:type="dxa"/>
        </w:tblCellMar>
      </w:tblPr>
      <w:tblGrid>
        <w:gridCol w:w="1305"/>
        <w:gridCol w:w="1144"/>
        <w:gridCol w:w="1150"/>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Annual Cash Holdback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8159" w:type="dxa"/>
        <w:jc w:val="left"/>
        <w:tblInd w:w="0" w:type="dxa"/>
        <w:tblLayout w:type="fixed"/>
        <w:tblCellMar>
          <w:top w:w="28" w:type="dxa"/>
          <w:left w:w="28" w:type="dxa"/>
          <w:bottom w:w="28" w:type="dxa"/>
          <w:right w:w="28" w:type="dxa"/>
        </w:tblCellMar>
      </w:tblPr>
      <w:tblGrid>
        <w:gridCol w:w="1302"/>
        <w:gridCol w:w="1147"/>
        <w:gridCol w:w="1150"/>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Annual Cash Holdback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the fair value of financial instruments for which the Company has used Level III inputs to determine fair value (in thousands):</w:t>
      </w:r>
    </w:p>
    <w:tbl>
      <w:tblPr>
        <w:tblW w:w="7995" w:type="dxa"/>
        <w:jc w:val="left"/>
        <w:tblInd w:w="0" w:type="dxa"/>
        <w:tblLayout w:type="fixed"/>
        <w:tblCellMar>
          <w:top w:w="28" w:type="dxa"/>
          <w:left w:w="28" w:type="dxa"/>
          <w:bottom w:w="28" w:type="dxa"/>
          <w:right w:w="28" w:type="dxa"/>
        </w:tblCellMar>
      </w:tblPr>
      <w:tblGrid>
        <w:gridCol w:w="902"/>
        <w:gridCol w:w="792"/>
        <w:gridCol w:w="79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at fair value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Total realized and unrealized gains and losses recorded for Level III assets carried at fair value are reported in net gains (losses) from investment activities in the Condensed Consolidated Statements of Operations. Total realized and unrealized gains and losses recorded for Level III liabilities carried at fair value are reported in interest, dividends and other in the</w:t>
      </w:r>
      <w:r>
        <w:rPr>
          <w:color w:val="000000"/>
        </w:rPr>
        <w:t xml:space="preserve"> </w:t>
      </w:r>
      <w:r>
        <w:rPr>
          <w:rFonts w:ascii="Times New Roman;serif" w:hAnsi="Times New Roman;serif"/>
          <w:b w:val="false"/>
          <w:color w:val="000000"/>
          <w:sz w:val="20"/>
        </w:rPr>
        <w:t>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qualitative information about instruments categorized in Level III of the fair value hierarchy as of June 30, 2026 and December 31, 2025.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0"/>
        <w:gridCol w:w="696"/>
        <w:gridCol w:w="697"/>
        <w:gridCol w:w="335"/>
        <w:gridCol w:w="1147"/>
        <w:gridCol w:w="173"/>
        <w:gridCol w:w="109"/>
        <w:gridCol w:w="109"/>
        <w:gridCol w:w="109"/>
        <w:gridCol w:w="607"/>
        <w:gridCol w:w="582"/>
        <w:gridCol w:w="584"/>
        <w:gridCol w:w="109"/>
        <w:gridCol w:w="109"/>
        <w:gridCol w:w="109"/>
        <w:gridCol w:w="575"/>
        <w:gridCol w:w="575"/>
        <w:gridCol w:w="576"/>
        <w:gridCol w:w="109"/>
        <w:gridCol w:w="109"/>
        <w:gridCol w:w="109"/>
        <w:gridCol w:w="551"/>
        <w:gridCol w:w="551"/>
        <w:gridCol w:w="785"/>
      </w:tblGrid>
      <w:tr>
        <w:trPr/>
        <w:tc>
          <w:tcPr>
            <w:tcW w:w="7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Unobservable Input(s)</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Range (Weighted Average)</w:t>
            </w:r>
            <w:r>
              <w:rPr>
                <w:rFonts w:ascii="Times New Roman;serif" w:hAnsi="Times New Roman;serif"/>
                <w:b/>
                <w:color w:val="000000"/>
                <w:sz w:val="12"/>
              </w:rPr>
              <w:t>(b)</w:t>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Annual Cash Holdback Amount</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Present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Multiple probability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(b)Inputs weighted based on fair value of instruments in range.</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770"/>
        <w:gridCol w:w="678"/>
        <w:gridCol w:w="680"/>
        <w:gridCol w:w="363"/>
        <w:gridCol w:w="1242"/>
        <w:gridCol w:w="187"/>
        <w:gridCol w:w="109"/>
        <w:gridCol w:w="109"/>
        <w:gridCol w:w="109"/>
        <w:gridCol w:w="595"/>
        <w:gridCol w:w="569"/>
        <w:gridCol w:w="571"/>
        <w:gridCol w:w="109"/>
        <w:gridCol w:w="109"/>
        <w:gridCol w:w="109"/>
        <w:gridCol w:w="566"/>
        <w:gridCol w:w="566"/>
        <w:gridCol w:w="568"/>
        <w:gridCol w:w="109"/>
        <w:gridCol w:w="109"/>
        <w:gridCol w:w="109"/>
        <w:gridCol w:w="545"/>
        <w:gridCol w:w="545"/>
        <w:gridCol w:w="779"/>
      </w:tblGrid>
      <w:tr>
        <w:trPr/>
        <w:tc>
          <w:tcPr>
            <w:tcW w:w="7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Unobservable Input(s)</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Range (Weighted Average)</w:t>
            </w:r>
            <w:r>
              <w:rPr>
                <w:rFonts w:ascii="Times New Roman;serif" w:hAnsi="Times New Roman;serif"/>
                <w:b/>
                <w:color w:val="000000"/>
                <w:sz w:val="12"/>
              </w:rPr>
              <w:t>(b)</w:t>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at fair value</w:t>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Annual Cash Holdback Amount</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Present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2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Payment</w:t>
            </w:r>
          </w:p>
        </w:tc>
        <w:tc>
          <w:tcPr>
            <w:tcW w:w="1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Multiple probability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2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(b)Inputs weighted based on fair value of instruments in range.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6. Intangible Assets and Goodwill</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of intangible assets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520"/>
        <w:gridCol w:w="407"/>
        <w:gridCol w:w="409"/>
        <w:gridCol w:w="218"/>
        <w:gridCol w:w="856"/>
        <w:gridCol w:w="113"/>
        <w:gridCol w:w="109"/>
        <w:gridCol w:w="109"/>
        <w:gridCol w:w="109"/>
        <w:gridCol w:w="221"/>
        <w:gridCol w:w="891"/>
        <w:gridCol w:w="114"/>
        <w:gridCol w:w="109"/>
        <w:gridCol w:w="109"/>
        <w:gridCol w:w="109"/>
        <w:gridCol w:w="216"/>
        <w:gridCol w:w="848"/>
        <w:gridCol w:w="111"/>
        <w:gridCol w:w="109"/>
        <w:gridCol w:w="109"/>
        <w:gridCol w:w="109"/>
        <w:gridCol w:w="218"/>
        <w:gridCol w:w="856"/>
        <w:gridCol w:w="113"/>
        <w:gridCol w:w="109"/>
        <w:gridCol w:w="109"/>
        <w:gridCol w:w="109"/>
        <w:gridCol w:w="221"/>
        <w:gridCol w:w="891"/>
        <w:gridCol w:w="114"/>
        <w:gridCol w:w="109"/>
        <w:gridCol w:w="109"/>
        <w:gridCol w:w="109"/>
        <w:gridCol w:w="216"/>
        <w:gridCol w:w="847"/>
        <w:gridCol w:w="170"/>
      </w:tblGrid>
      <w:tr>
        <w:trPr/>
        <w:tc>
          <w:tcPr>
            <w:tcW w:w="52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7682" w:type="dxa"/>
            <w:gridSpan w:val="30"/>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Value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Contractual performance fee allocations</w:t>
            </w:r>
            <w:r>
              <w:rPr>
                <w:rFonts w:ascii="Times New Roman;serif" w:hAnsi="Times New Roman;serif"/>
                <w:b w:val="false"/>
                <w:color w:val="000000"/>
                <w:sz w:val="13"/>
              </w:rPr>
              <w:t>(a)</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Management contracts</w:t>
            </w:r>
            <w:r>
              <w:rPr>
                <w:rFonts w:ascii="Times New Roman;serif" w:hAnsi="Times New Roman;serif"/>
                <w:b w:val="false"/>
                <w:color w:val="000000"/>
                <w:sz w:val="13"/>
              </w:rPr>
              <w:t>(a)</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 relationships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Trade name</w:t>
            </w:r>
            <w:r>
              <w:rPr>
                <w:rFonts w:ascii="Times New Roman;serif" w:hAnsi="Times New Roman;serif"/>
                <w:b w:val="false"/>
                <w:color w:val="000000"/>
                <w:sz w:val="13"/>
              </w:rPr>
              <w:t>(a)</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intangible assets</w:t>
            </w:r>
            <w:r>
              <w:rPr>
                <w:rFonts w:ascii="Times New Roman;serif" w:hAnsi="Times New Roman;serif"/>
                <w:b w:val="false"/>
                <w:color w:val="000000"/>
                <w:sz w:val="13"/>
              </w:rPr>
              <w:t>(a), (b)</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intangible assets, net</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938,394 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(350,809)</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587,585 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938,394 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659,839 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6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(a)Includes intangible assets with a net carrying value of $204.5 million as of June 30, 2026 related to the acquisition of Peppertree described in Note 3 to the Condensed Consolidated Financial Statements.</w:t>
      </w:r>
    </w:p>
    <w:p>
      <w:pPr>
        <w:pStyle w:val="TextBody"/>
        <w:bidi w:val="0"/>
        <w:spacing w:lineRule="auto" w:line="288" w:before="0" w:after="6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(b)Includes indefinite-lived intangible assets of $1.0 million as of June 30, 2026 and December 31, 2025.</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recognized no impairment losses on intangible assets during the three and six months ended June 30, 2026 and 2025.</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 amortization expense was $36.1 million and $72.3 million for the three and six months ended June 30, 2026, respectively, and $25.8 million and $52.5 million for the three and six months ended June 30, 2025, respectively.</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estimated remaining amortization expense for finite-lived intangible assets that existed as of June 30, 2026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value of the Company’s goodwill was $498.2 million.</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impairment losses recognized on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7. Variable Interest Entities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consolidates VIEs in which it is considered the primary beneficiary as described in Note 2 to the Condensed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assets of consolidated VIEs may only be used to settle obligations of these consolidated VIEs. In addition, there is no recourse to the Company for the consolidated VIEs’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three and six months ended June 30, 2026 and 2025, TPG did not provide any amounts to unconsolidated VIEs other than its obligated commitments.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maximum exposure to loss represents the loss of assets recognized by TPG relating to non-consolidated entities and any amounts due to non-consolidated entities.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assets and liabilities recognized in the Company’s Condensed Consolidated Statements of Financial Condition related to its interest in these non-consolidated VIEs and its maximum exposure to loss relating to non-consolidated VIEs were as follows (in thousands):</w:t>
      </w:r>
    </w:p>
    <w:tbl>
      <w:tblPr>
        <w:tblW w:w="10205" w:type="dxa"/>
        <w:jc w:val="left"/>
        <w:tblInd w:w="0" w:type="dxa"/>
        <w:tblLayout w:type="fixed"/>
        <w:tblCellMar>
          <w:top w:w="28" w:type="dxa"/>
          <w:left w:w="28" w:type="dxa"/>
          <w:bottom w:w="28" w:type="dxa"/>
          <w:right w:w="28" w:type="dxa"/>
        </w:tblCellMar>
      </w:tblPr>
      <w:tblGrid>
        <w:gridCol w:w="2586"/>
        <w:gridCol w:w="2235"/>
        <w:gridCol w:w="2251"/>
        <w:gridCol w:w="211"/>
        <w:gridCol w:w="976"/>
        <w:gridCol w:w="109"/>
        <w:gridCol w:w="109"/>
        <w:gridCol w:w="109"/>
        <w:gridCol w:w="109"/>
        <w:gridCol w:w="237"/>
        <w:gridCol w:w="1097"/>
        <w:gridCol w:w="176"/>
      </w:tblGrid>
      <w:tr>
        <w:trPr/>
        <w:tc>
          <w:tcPr>
            <w:tcW w:w="258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7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837" w:type="dxa"/>
            <w:gridSpan w:val="6"/>
            <w:tcBorders/>
          </w:tcPr>
          <w:p>
            <w:pPr>
              <w:pStyle w:val="TableContents"/>
              <w:bidi w:val="0"/>
              <w:spacing w:before="0" w:after="283"/>
              <w:jc w:val="left"/>
              <w:rPr>
                <w:sz w:val="4"/>
                <w:szCs w:val="4"/>
              </w:rPr>
            </w:pPr>
            <w:r>
              <w:rPr>
                <w:sz w:val="4"/>
                <w:szCs w:val="4"/>
              </w:rPr>
            </w:r>
          </w:p>
        </w:tc>
      </w:tr>
      <w:tr>
        <w:trPr/>
        <w:tc>
          <w:tcPr>
            <w:tcW w:w="7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Investments (includes assets pledged of $384,894 and $521,124 as of June 30, 2026 and December 31, 2025,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1,774,815 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408,022 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clawback obligation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2,456,516 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Maximum exposure to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4,711,619 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cumulative performance allocations of $7.8 billion and $7.3 billion as of June 30, 2026 and December 31, 2025, respectively, are subject to reversal in the event of future losses.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RemainCo</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RemainCo Administrative Services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Securitization Vehicles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subsidiaries of the Company issued $250.0 million in privately placed Secured Notes. The Company used one or more special purpose entities that are considered VIEs to issue notes to third-party investors in the securitization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 of Secured Notes issued by the VIEs was $246.3 million and $246.2 million, respectively, and is shown in the Company’s Condensed Consolidated Statements of Financial Condition as debt obligations, net of unamortized issuance costs of $3.7 million and $3.8 million,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the total assets and liabilities related to VIE securitization transactions included in the Company’s Condensed Consolidated Statements of Financial Condition (in thousands):</w:t>
      </w:r>
    </w:p>
    <w:tbl>
      <w:tblPr>
        <w:tblW w:w="5784" w:type="dxa"/>
        <w:jc w:val="left"/>
        <w:tblInd w:w="0" w:type="dxa"/>
        <w:tblLayout w:type="fixed"/>
        <w:tblCellMar>
          <w:top w:w="28" w:type="dxa"/>
          <w:left w:w="28" w:type="dxa"/>
          <w:bottom w:w="28" w:type="dxa"/>
          <w:right w:w="28" w:type="dxa"/>
        </w:tblCellMar>
      </w:tblPr>
      <w:tblGrid>
        <w:gridCol w:w="983"/>
        <w:gridCol w:w="863"/>
        <w:gridCol w:w="868"/>
        <w:gridCol w:w="212"/>
        <w:gridCol w:w="833"/>
        <w:gridCol w:w="109"/>
        <w:gridCol w:w="109"/>
        <w:gridCol w:w="109"/>
        <w:gridCol w:w="109"/>
        <w:gridCol w:w="281"/>
        <w:gridCol w:w="1103"/>
        <w:gridCol w:w="205"/>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Participation rights receivable</w:t>
            </w:r>
            <w:r>
              <w:rPr>
                <w:rFonts w:ascii="Times New Roman;serif" w:hAnsi="Times New Roman;serif"/>
                <w:b w:val="false"/>
                <w:color w:val="000000"/>
                <w:sz w:val="13"/>
              </w:rPr>
              <w:t>(a)</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521,124 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 and 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notes,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246,505 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6"/>
        </w:rPr>
        <w:t>(a)Participation rights receivable related to VIE securitization transactions are included in investments in the Company’s Condensed Consolidated Statements of Financial Condition</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8. Debt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26, 2026, the Notes Issuer completed an offering of $500.0 million aggregate principal amount of Senior Notes due 2031 (the “2031 Senior Notes”). The 2031 Senior Notes will mature on May 15, 2031, unless earlier accelerated, redeemed or repurchased. The 2031 Senior Notes are fully and unconditionally guaranteed, jointly and severally, by each of the Guarantors, and are unsecured and unsubordinated obligations of the Notes Issuer and the Guarantors. The 2031 Senior Notes bear interest at a rate of 4.875% per annum, which is payable semi-annually in arrears on May 15 and November 15 of each year, beginning on November 15, 2026. The 2031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 Transaction costs related to the 2031 Senior Notes issuance have been capitalized and are amortized over the life of the 2031 Senior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and its subsidiaries’ debt obligations (in thousands):</w:t>
      </w:r>
    </w:p>
    <w:tbl>
      <w:tblPr>
        <w:tblW w:w="10205" w:type="dxa"/>
        <w:jc w:val="center"/>
        <w:tblInd w:w="0" w:type="dxa"/>
        <w:tblLayout w:type="fixed"/>
        <w:tblCellMar>
          <w:top w:w="28" w:type="dxa"/>
          <w:left w:w="28" w:type="dxa"/>
          <w:bottom w:w="28" w:type="dxa"/>
          <w:right w:w="28" w:type="dxa"/>
        </w:tblCellMar>
      </w:tblPr>
      <w:tblGrid>
        <w:gridCol w:w="683"/>
        <w:gridCol w:w="426"/>
        <w:gridCol w:w="428"/>
        <w:gridCol w:w="109"/>
        <w:gridCol w:w="109"/>
        <w:gridCol w:w="109"/>
        <w:gridCol w:w="109"/>
        <w:gridCol w:w="272"/>
        <w:gridCol w:w="272"/>
        <w:gridCol w:w="273"/>
        <w:gridCol w:w="109"/>
        <w:gridCol w:w="109"/>
        <w:gridCol w:w="109"/>
        <w:gridCol w:w="215"/>
        <w:gridCol w:w="996"/>
        <w:gridCol w:w="111"/>
        <w:gridCol w:w="109"/>
        <w:gridCol w:w="109"/>
        <w:gridCol w:w="109"/>
        <w:gridCol w:w="211"/>
        <w:gridCol w:w="976"/>
        <w:gridCol w:w="109"/>
        <w:gridCol w:w="109"/>
        <w:gridCol w:w="109"/>
        <w:gridCol w:w="109"/>
        <w:gridCol w:w="255"/>
        <w:gridCol w:w="256"/>
        <w:gridCol w:w="393"/>
        <w:gridCol w:w="109"/>
        <w:gridCol w:w="109"/>
        <w:gridCol w:w="109"/>
        <w:gridCol w:w="211"/>
        <w:gridCol w:w="976"/>
        <w:gridCol w:w="109"/>
        <w:gridCol w:w="109"/>
        <w:gridCol w:w="109"/>
        <w:gridCol w:w="109"/>
        <w:gridCol w:w="255"/>
        <w:gridCol w:w="256"/>
        <w:gridCol w:w="451"/>
      </w:tblGrid>
      <w:tr>
        <w:trPr/>
        <w:tc>
          <w:tcPr>
            <w:tcW w:w="6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 December 31, 2025</w:t>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Borrowing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Interest Rate</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Unsecured Revolving Credit Facility</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2031 Senior Notes</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2034 Senior Notes</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2036 Senior Notes</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Notes</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Notes - Tranche A</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Notes - Tranche B</w:t>
            </w:r>
            <w:r>
              <w:rPr>
                <w:rFonts w:ascii="Times New Roman;serif" w:hAnsi="Times New Roman;serif"/>
                <w:b w:val="false"/>
                <w:color w:val="000000"/>
                <w:sz w:val="13"/>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June 2038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364-Day Revolving Credit Facility</w:t>
            </w:r>
            <w:r>
              <w:rPr>
                <w:rFonts w:ascii="Times New Roman;serif" w:hAnsi="Times New Roman;serif"/>
                <w:b w:val="false"/>
                <w:color w:val="000000"/>
                <w:sz w:val="13"/>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April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Credit Facility</w:t>
            </w:r>
            <w:r>
              <w:rPr>
                <w:rFonts w:ascii="Times New Roman;serif" w:hAnsi="Times New Roman;serif"/>
                <w:b w:val="false"/>
                <w:color w:val="000000"/>
                <w:sz w:val="13"/>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4,330,000 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(a)As of June 30, 2026, the senior unsecured revolving credit facility, as amended (the “Senior Unsecured Revolving Credit Facility”) has aggregate revolving commitments of $1.75 billion. 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(b)On February 26, 2026, the Notes Issuer issued $500.0 million aggregate principal amount of 2031 Senior Notes with interest payable semi-annually in arrears on May 15 and November 15 of each year, beginning on November 15, 2026.</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(c)On March 5, 2024, the Notes Issuer issued $600.0 million aggregate principal amount of Senior Notes due 2034 (the “2034 Senior Notes”) with interest payable semi-annually in arrears on March 5 and September 5 of each year, beginning on September 5, 2024.</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(d)On August 14, 2025, the Notes Issuer issued $500.0 million aggregate principal amount of Senior Notes due 2036 (the “2036 Senior Notes” and, collectively with the 2031 Senior Notes and the 2034 Senior Notes, the “Senior Notes”) with interest payable semi-annually in arrears on January 15 and July 15 of each year, beginning on January 15, 2026.</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(e)On March 4, 2024, the Notes Issuer issued $400.0 million aggregate principal amount of Fixed-Rate Junior Subordinated notes due 2064 (the “Subordinated Notes”) with interest payable quarterly in arrears on March 15, June 15, September 15 and December 15 of each year, beginning on June 15, 2024, subject to the Notes Issuer’s right, on one or more occasions, to defer the payment of interest on the notes for up to five consecutive years.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(f)The Company’s Secured Notes are issued using on-balance sheet securitization vehicles, as further discussed in Note 7 to the Condensed Consolidated Financial Statements.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(g)On April 14, 2023, a consolidated subsidiary of the Company entered into a 364-day revolving credit facility (the “364-Day Credit Facility”) with Mizuho Bank, Ltd., acting as administrative agent, to provide the subsidiary with revolving borrowings of up to $150.0 million. This facility was increased to $300.0 million in April 2025 and subsequently extended in April 2026 to a new termination date of April 7, 2027.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(h)On August 2014, 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August 2025, the subsidiary extended the maturity date of the Subordinated Credit Facility from August 2026 to August 2027.</w:t>
      </w:r>
    </w:p>
    <w:p>
      <w:pPr>
        <w:pStyle w:val="TextBody"/>
        <w:bidi w:val="0"/>
        <w:spacing w:before="6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was in compliance with all covenants under the debt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fair values of the Company’s debt which are carried at amortized cost (in thousands):</w:t>
      </w:r>
    </w:p>
    <w:p>
      <w:pPr>
        <w:pStyle w:val="TextBody"/>
        <w:bidi w:val="0"/>
        <w:spacing w:before="0" w:after="0"/>
        <w:jc w:val="both"/>
        <w:rPr/>
      </w:pPr>
      <w:r>
        <w:rPr/>
      </w:r>
    </w:p>
    <w:tbl>
      <w:tblPr>
        <w:tblW w:w="5484" w:type="dxa"/>
        <w:jc w:val="left"/>
        <w:tblInd w:w="0" w:type="dxa"/>
        <w:tblLayout w:type="fixed"/>
        <w:tblCellMar>
          <w:top w:w="28" w:type="dxa"/>
          <w:left w:w="28" w:type="dxa"/>
          <w:bottom w:w="28" w:type="dxa"/>
          <w:right w:w="28" w:type="dxa"/>
        </w:tblCellMar>
      </w:tblPr>
      <w:tblGrid>
        <w:gridCol w:w="874"/>
        <w:gridCol w:w="767"/>
        <w:gridCol w:w="773"/>
        <w:gridCol w:w="212"/>
        <w:gridCol w:w="833"/>
        <w:gridCol w:w="109"/>
        <w:gridCol w:w="109"/>
        <w:gridCol w:w="109"/>
        <w:gridCol w:w="109"/>
        <w:gridCol w:w="281"/>
        <w:gridCol w:w="1103"/>
        <w:gridCol w:w="205"/>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2034 Senior Notes</w:t>
            </w:r>
            <w:r>
              <w:rPr>
                <w:rFonts w:ascii="Times New Roman;serif" w:hAnsi="Times New Roman;serif"/>
                <w:b w:val="false"/>
                <w:color w:val="000000"/>
                <w:sz w:val="13"/>
              </w:rPr>
              <w:t>(a)</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627,402 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2036 Senior Notes</w:t>
            </w:r>
            <w:r>
              <w:rPr>
                <w:rFonts w:ascii="Times New Roman;serif" w:hAnsi="Times New Roman;serif"/>
                <w:b w:val="false"/>
                <w:color w:val="000000"/>
                <w:sz w:val="13"/>
              </w:rPr>
              <w:t>(a)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2031 Senior Notes</w:t>
            </w:r>
            <w:r>
              <w:rPr>
                <w:rFonts w:ascii="Times New Roman;serif" w:hAnsi="Times New Roman;serif"/>
                <w:b w:val="false"/>
                <w:color w:val="000000"/>
                <w:sz w:val="13"/>
              </w:rPr>
              <w:t>(a)</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Notes</w:t>
            </w:r>
            <w:r>
              <w:rPr>
                <w:rFonts w:ascii="Times New Roman;serif" w:hAnsi="Times New Roman;serif"/>
                <w:b w:val="false"/>
                <w:color w:val="000000"/>
                <w:sz w:val="13"/>
              </w:rPr>
              <w:t>(b)</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Notes - Tranche A</w:t>
            </w:r>
            <w:r>
              <w:rPr>
                <w:rFonts w:ascii="Times New Roman;serif" w:hAnsi="Times New Roman;serif"/>
                <w:b w:val="false"/>
                <w:color w:val="000000"/>
                <w:sz w:val="13"/>
              </w:rPr>
              <w:t>(c)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Secured Notes - Tranche B</w:t>
            </w:r>
            <w:r>
              <w:rPr>
                <w:rFonts w:ascii="Times New Roman;serif" w:hAnsi="Times New Roman;serif"/>
                <w:b w:val="false"/>
                <w:color w:val="000000"/>
                <w:sz w:val="13"/>
              </w:rPr>
              <w:t>(c)</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(a)Fair value is based on indicative quotes and the notes are classified as Level II within the fair value hierarchy.</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(b)Fair value is based on quoted prices in active markets since the debt is publicly listed and the notes are classified as Level I within the fair value hierarchy.</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(c)Fair value is based on current market rates and credit spreads of the Company’s Senior Notes and debt with similar maturities. The notes are classified as Level II within the fair value hierarchy.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case of the Company’s Senior Unsecured Revolving Credit Facility, Subordinated Credit Facility and 364-Day Credit Facility, the fair values approximate the carrying amounts represented in the Condensed Consolidated Financial Statements due to their variable rate nature.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incurred interest expense of $35.3 million and $67.2 million, respectively, on its debt obligations. During the three and six months ended June 30, 2025 the Company incurred interest expense of $24.1 million and $46.5 million respectively, on its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United States (federal, state and local) and in foreign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net deferred tax assets before the considerations of valuation allowances in the amount of $1.1 billion and $993.9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As a result of the Reorganization and subsequent exchanges, the Company recorded deferred tax assets generated by the step-up in the tax basis of assets, that will be recovered as those underlying assets are sold or the tax basis is amortized.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evaluates the realizability of its deferred tax asset on a quarterly basis and adjusts the valuation allowance when it is more likely than 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has recognized a valuation allowance of $194.7 million and $141.3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 The Company has recognized valuation allowances against certain foreign tax credits available for use in the United States in the amount of $0.5 million, which are expected to expire unutilized, The Company also recognized a valuation allowance of $0.2 million primarily related to foreign net operating loss carryforwards, as it is more likely than not that this portion of our foreign deferred tax assets is not realizable.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As of June 30, 2026 and December 31, 2025, the Company’s liability pursuant to the Tax Receivable Agreement related to the Reorganization and subsequent exchanges of TPG Operating Group partnership units for common stock was $848.2 million and $811.6 million, respectively. As of June 30, 2026 approximately $508.0 million of the Tax Receivable Agreement liability is attributable to Related Parties further described in Note 10 and $340.2 million</w:t>
      </w:r>
      <w:r>
        <w:rPr>
          <w:color w:val="000000"/>
        </w:rPr>
        <w:t xml:space="preserve"> </w:t>
      </w:r>
      <w:r>
        <w:rPr>
          <w:rFonts w:ascii="Times New Roman;serif" w:hAnsi="Times New Roman;serif"/>
          <w:b w:val="false"/>
          <w:color w:val="000000"/>
          <w:sz w:val="20"/>
        </w:rPr>
        <w:t>is attributable to non-affiliates recorded in other liabilities. As of December 31, 2025, approximately $495.1 million of the Tax Receivable Agreement liability is attributable to Related Parties further described in Note 10 and $316.6 million</w:t>
      </w:r>
      <w:r>
        <w:rPr>
          <w:color w:val="000000"/>
        </w:rPr>
        <w:t xml:space="preserve"> </w:t>
      </w:r>
      <w:r>
        <w:rPr>
          <w:rFonts w:ascii="Times New Roman;serif" w:hAnsi="Times New Roman;serif"/>
          <w:b w:val="false"/>
          <w:color w:val="000000"/>
          <w:sz w:val="20"/>
        </w:rPr>
        <w:t>is attributable to non-affiliates recorded in other liabilities. During the six months ended June 30, 2026, certain holders of Common Units exchanged 6,042,619 Common Units for an equal number of shares of Class A Common Stock as described in Note 15 to the Consolidated Financial Statements. During the six months ended June 30, 2026, the Company made payments of $29.9 million in connection with the Tax Receivable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pPr>
      <w:r>
        <w:rPr>
          <w:rFonts w:ascii="Times New Roman;serif" w:hAnsi="Times New Roman;serif"/>
          <w:b w:val="false"/>
          <w:color w:val="000000"/>
          <w:sz w:val="20"/>
        </w:rPr>
        <w:t>The Company’s effective tax rate was 10.2% and 8.8% for the three and six months ended June 30, 2026, respectively, and 23.5% and 11.7% for the</w:t>
      </w:r>
      <w:r>
        <w:rPr>
          <w:color w:val="000000"/>
        </w:rPr>
        <w:t xml:space="preserve"> </w:t>
      </w:r>
      <w:r>
        <w:rPr>
          <w:rFonts w:ascii="Times New Roman;serif" w:hAnsi="Times New Roman;serif"/>
          <w:b w:val="false"/>
          <w:color w:val="000000"/>
          <w:sz w:val="20"/>
        </w:rPr>
        <w:t xml:space="preserve">three and six months ended June 30, 2025,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(i) a portion of income and losses are allocated to non-controlling interests, and the tax liability on such income or loss is borne by the holders of such non-controlling interests, (ii) certain compensation expense that is not tax deductible and (iii) tax benefits related to equity-based compensation windfalls.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Applicable accounting standards provide that the Company may estimate an annual effective tax rate and apply that rate to year-to-date income for each interim period. However, because the Company’s forecast of income before taxes is highly variable due to changes in market conditions, the actual effective income tax rate for the year-to-date period represents a better estimate of the consolidated annual effective income tax rate. Accordingly, for the three and six months ended June 30, 2026, the actual consolidated effective income tax rate was used to determine the Company’s income tax provision.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there were no material changes to uncertain tax positions. 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the Company operates have enacted these rules. In January 2026, the OECD released Administrative Guidance that introduced new Safe Harbors including one that exempts U.S.-parented multinational groups from various aspects of the GloBE rules. The Company will continue to monitor for legislative changes related to this guidance. As of June 30, 2026, the Company has analyzed enacted legislation and determined that the effects of Pillar Two are not material to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Due From and Due To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from affiliates and due to affiliates consist of the following (in thousands):</w:t>
      </w:r>
    </w:p>
    <w:tbl>
      <w:tblPr>
        <w:tblW w:w="5095" w:type="dxa"/>
        <w:jc w:val="left"/>
        <w:tblInd w:w="0" w:type="dxa"/>
        <w:tblLayout w:type="fixed"/>
        <w:tblCellMar>
          <w:top w:w="28" w:type="dxa"/>
          <w:left w:w="28" w:type="dxa"/>
          <w:bottom w:w="28" w:type="dxa"/>
          <w:right w:w="28" w:type="dxa"/>
        </w:tblCellMar>
      </w:tblPr>
      <w:tblGrid>
        <w:gridCol w:w="734"/>
        <w:gridCol w:w="644"/>
        <w:gridCol w:w="647"/>
        <w:gridCol w:w="212"/>
        <w:gridCol w:w="833"/>
        <w:gridCol w:w="109"/>
        <w:gridCol w:w="109"/>
        <w:gridCol w:w="109"/>
        <w:gridCol w:w="109"/>
        <w:gridCol w:w="281"/>
        <w:gridCol w:w="1103"/>
        <w:gridCol w:w="205"/>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and employees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related entities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93,239 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VIEs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408,022 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Due from affiliates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573,590 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companies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18,788 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 and employees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579,039 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related entities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24,539 </w:t>
            </w:r>
          </w:p>
        </w:tc>
        <w:tc>
          <w:tcPr>
            <w:tcW w:w="2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VIEs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72,266 </w:t>
            </w:r>
          </w:p>
        </w:tc>
        <w:tc>
          <w:tcPr>
            <w:tcW w:w="2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Due to affiliates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Affiliate receivables and payables historically have been settled in the normal course of business without formal payment terms, generally do not require any form of collateral and do not bear interest.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Exchange Agreement, certain current and former employees and partners of TPG Partner Holdings are authorized to exchange Common Units for an equal number of shares of Class A Common Stock. During the six months ended June 30, 2026, these current and former partners and employees exchanged 3,191,410 Common Units, as described in Note 15 to the Condensed Consolidated Financial Statements. These exchanges resulted in an increase in the Company’s tax basis of its investment in the TPG Operating Group and is subject to the Tax Receivable Agreement. As of June 30, 2026 and December 31, 2025, the Company has recorded a Tax Receivable Agreement liability of $508.0 million and $495.1 million, respectively, in connection with certain current and former employees and partners of TPG Partner Holdings, which is included in the partners and employees balance in due to affiliates in the Condensed Consolidated Statements of Financial Condition. During the six months ended June 30, 2026, the Company made payments of $29.9 million in connection with the Tax Receivable Agreement, of which $19.9 million was paid to related parties.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Fund Investments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six months ended June 30, 2026 and 2025 totaled $134.8 million and $100.4 million, respectively.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Fee Income from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Substantially all revenues are generated from TPG funds, limited partners of TPG funds, or portfolio companies. The Company disclosed revenues in Note 2 to the Condensed Consolidated Financial Statements.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Loans to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short-term fundings that are intended to be syndicated to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Line of Credit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26, 2025, TPG Operating Group II, L.P. entered into an unsecured, uncommitted line of credit (the “Line of Credit”) with an affiliate of TPG Private Equity Opportunities (“T-POP”) to provide for up to a maximum aggregate principal amount of $250.0 million. No amount was outstanding on the Line of Credit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RemainCo Administrative Services Agreement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exchange for services provided by TPG Operating Group, RemainCo pays TPG Operating Group an annual administration fee in the amount of 1% per annum of the net asset value of RemainCo’s assets, with such amount payable quarterly in advance. The fees earned by the Company for the three and six months ended June 30, 2026 were $3.0 million and $6.1 million, respectively, and recorded in fees and other in the Condensed Consolidated Statements of Operations. The fees earned by the Company for the three and six months ended June 30, 2025 were $3.2 million and $6.4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11. Operating Leases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lease cost, cash flows, and other supplemental information related to its operating leases.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p>
      <w:pPr>
        <w:pStyle w:val="TextBody"/>
        <w:bidi w:val="0"/>
        <w:spacing w:before="0" w:after="0"/>
        <w:jc w:val="left"/>
        <w:rPr/>
      </w:pPr>
      <w:r>
        <w:rPr/>
      </w:r>
    </w:p>
    <w:tbl>
      <w:tblPr>
        <w:tblW w:w="9656" w:type="dxa"/>
        <w:jc w:val="left"/>
        <w:tblInd w:w="0" w:type="dxa"/>
        <w:tblLayout w:type="fixed"/>
        <w:tblCellMar>
          <w:top w:w="28" w:type="dxa"/>
          <w:left w:w="28" w:type="dxa"/>
          <w:bottom w:w="28" w:type="dxa"/>
          <w:right w:w="28" w:type="dxa"/>
        </w:tblCellMar>
      </w:tblPr>
      <w:tblGrid>
        <w:gridCol w:w="1206"/>
        <w:gridCol w:w="1054"/>
        <w:gridCol w:w="1070"/>
        <w:gridCol w:w="109"/>
        <w:gridCol w:w="435"/>
        <w:gridCol w:w="338"/>
        <w:gridCol w:w="338"/>
        <w:gridCol w:w="224"/>
        <w:gridCol w:w="224"/>
        <w:gridCol w:w="224"/>
        <w:gridCol w:w="435"/>
        <w:gridCol w:w="338"/>
        <w:gridCol w:w="338"/>
        <w:gridCol w:w="109"/>
        <w:gridCol w:w="109"/>
        <w:gridCol w:w="109"/>
        <w:gridCol w:w="211"/>
        <w:gridCol w:w="721"/>
        <w:gridCol w:w="271"/>
        <w:gridCol w:w="109"/>
        <w:gridCol w:w="109"/>
        <w:gridCol w:w="109"/>
        <w:gridCol w:w="211"/>
        <w:gridCol w:w="721"/>
        <w:gridCol w:w="271"/>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Lease cost</w:t>
            </w:r>
            <w:r>
              <w:rPr>
                <w:rFonts w:ascii="Times New Roman;serif" w:hAnsi="Times New Roman;serif"/>
                <w:b/>
                <w:color w:val="000000"/>
                <w:sz w:val="13"/>
              </w:rPr>
              <w:t>(a)</w:t>
            </w: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28,029</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(a)Office rent expense for the three and six months ended June 30, 2026 was $26.4 million and $50.3 million, respectively. Office rent expense for the three and six months ended June 30, 2025 was $22.4 million and $45.0 million, respectively.</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Condensed Consolidated Statements of Cash Flows information related to leases were as follows (in thousands):</w:t>
      </w:r>
    </w:p>
    <w:tbl>
      <w:tblPr>
        <w:tblW w:w="8991" w:type="dxa"/>
        <w:jc w:val="left"/>
        <w:tblInd w:w="0" w:type="dxa"/>
        <w:tblLayout w:type="fixed"/>
        <w:tblCellMar>
          <w:top w:w="28" w:type="dxa"/>
          <w:left w:w="28" w:type="dxa"/>
          <w:bottom w:w="28" w:type="dxa"/>
          <w:right w:w="28" w:type="dxa"/>
        </w:tblCellMar>
      </w:tblPr>
      <w:tblGrid>
        <w:gridCol w:w="2252"/>
        <w:gridCol w:w="1974"/>
        <w:gridCol w:w="1984"/>
        <w:gridCol w:w="109"/>
        <w:gridCol w:w="211"/>
        <w:gridCol w:w="721"/>
        <w:gridCol w:w="109"/>
        <w:gridCol w:w="109"/>
        <w:gridCol w:w="109"/>
        <w:gridCol w:w="109"/>
        <w:gridCol w:w="211"/>
        <w:gridCol w:w="721"/>
        <w:gridCol w:w="109"/>
        <w:gridCol w:w="109"/>
        <w:gridCol w:w="154"/>
      </w:tblGrid>
      <w:tr>
        <w:trPr/>
        <w:tc>
          <w:tcPr>
            <w:tcW w:w="2252"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changes in right-of-use assets and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undiscounted cash flows on an annual basis for operating lease liabilities as of June 30, 2026 (in thousands):</w:t>
      </w:r>
    </w:p>
    <w:tbl>
      <w:tblPr>
        <w:tblW w:w="6341" w:type="dxa"/>
        <w:jc w:val="left"/>
        <w:tblInd w:w="0" w:type="dxa"/>
        <w:tblLayout w:type="fixed"/>
        <w:tblCellMar>
          <w:top w:w="28" w:type="dxa"/>
          <w:left w:w="28" w:type="dxa"/>
          <w:bottom w:w="28" w:type="dxa"/>
          <w:right w:w="28" w:type="dxa"/>
        </w:tblCellMar>
      </w:tblPr>
      <w:tblGrid>
        <w:gridCol w:w="1623"/>
        <w:gridCol w:w="1423"/>
        <w:gridCol w:w="1439"/>
        <w:gridCol w:w="109"/>
        <w:gridCol w:w="109"/>
        <w:gridCol w:w="109"/>
        <w:gridCol w:w="271"/>
        <w:gridCol w:w="1061"/>
        <w:gridCol w:w="197"/>
      </w:tblGrid>
      <w:tr>
        <w:trPr/>
        <w:tc>
          <w:tcPr>
            <w:tcW w:w="16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Lease Amount</w:t>
            </w:r>
            <w:r>
              <w:rPr>
                <w:rFonts w:ascii="Times New Roman;serif" w:hAnsi="Times New Roman;serif"/>
                <w:b/>
                <w:color w:val="000000"/>
                <w:sz w:val="13"/>
              </w:rPr>
              <w:t>(a)</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641,283 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future undiscounted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(312,860)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Present value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644,947 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(a)Net of tenant improvement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12. Commitments and Contingencies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of the Company’s consolidated entities have provided guarantees for obligations related to third-party lending programs that enable certain of our eligible employees to obtain financing for capital contributions into TPG funds. At June 30, 2026, the amounts outstanding related to these guarantees were $115.2 million, and the maximum obligations guaranteed under these agreements is $376.0 million.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the TPG Operating Group had unfunded investment commitments of $701.0 million to the investment funds that the Company manages and other strategic investments.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Contingent Obligations (Clawback) With Affiliates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exceeds the amount the general partners are ultimately entitled to receive based on cumulative fund results.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if all investments held by the TPG funds were liquidated at their current unrealized fair value, there would be clawback of $6.8 million, net of tax, for which a performance fee reserve was recorded within other liabilities in the Condensed Consolidated Statements of Financial Condition.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June 30, 2026, if all remaining investments were deemed worthless, a possibility management views as remote, the amount of performance allocations subject to potential clawback would be $2,635.8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general partners made no payments on the clawback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Legal Actions and Other Proceedings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information presently known by management, the Company has not recorded a potential liability related to any pending legal proceeding except as disclosed below,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2011, a number of TPG-related entities and individuals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lawsuits as well. The cases all allege generally that a late 2006 refinancing of the Hellas group of companies was improper. To date, most of the lawsuits have been dismissed, with those dismissals upheld on appeal, or the appeal period has passed. Most recently, in May 2026 the New York Appellate Division dismissed a New York State court case and the deadline to appeal has passed, and in June 2026 the Court of Appeal of Luxembourg rejected the appeal of a District Court case that had been decided in favor of the TPG and Apax-related defendants. Claims filed in 2024 by another group of plaintiffs, similarly situated to those in the other already dismissed cases, remain pending. The Company believes that any remaining claims related to the Hellas investment are without merit and intends to continue to defend them vigorously.</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Indemnifications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has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13. Net Income (Loss) Per Class A Common Share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reconciliations of the numerators and denominators used to compute basic and diluted net income (loss) per share of Class A common stock (in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4"/>
        <w:gridCol w:w="1346"/>
        <w:gridCol w:w="1360"/>
        <w:gridCol w:w="211"/>
        <w:gridCol w:w="826"/>
        <w:gridCol w:w="109"/>
        <w:gridCol w:w="109"/>
        <w:gridCol w:w="109"/>
        <w:gridCol w:w="109"/>
        <w:gridCol w:w="227"/>
        <w:gridCol w:w="795"/>
        <w:gridCol w:w="119"/>
        <w:gridCol w:w="109"/>
        <w:gridCol w:w="109"/>
        <w:gridCol w:w="109"/>
        <w:gridCol w:w="211"/>
        <w:gridCol w:w="826"/>
        <w:gridCol w:w="109"/>
        <w:gridCol w:w="109"/>
        <w:gridCol w:w="109"/>
        <w:gridCol w:w="109"/>
        <w:gridCol w:w="211"/>
        <w:gridCol w:w="826"/>
        <w:gridCol w:w="109"/>
        <w:gridCol w:w="109"/>
        <w:gridCol w:w="156"/>
      </w:tblGrid>
      <w:tr>
        <w:trPr/>
        <w:tc>
          <w:tcPr>
            <w:tcW w:w="167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Class A Common Stockholders prior to distributions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Reallocation of earnings to unvested participating restricted stock units</w:t>
            </w:r>
            <w:r>
              <w:rPr>
                <w:rFonts w:ascii="Times New Roman;serif" w:hAnsi="Times New Roman;serif"/>
                <w:b w:val="false"/>
                <w:color w:val="000000"/>
                <w:sz w:val="13"/>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Class A Common Stockholders - Basic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assuming exchange of 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Class A Common Stockholders -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 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164,670,334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125,450,638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Common Units to Class A Common Stock</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220,797,816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236,738,149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222,427,895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244,302,400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Shares of Common Stock Outstanding - Diluted</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385,468,150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370,142,783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384,594,589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369,753,038</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available to Class A common stock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Dividends declared per share of Class A Common Stock</w:t>
            </w:r>
            <w:r>
              <w:rPr>
                <w:rFonts w:ascii="Times New Roman;serif" w:hAnsi="Times New Roman;serif"/>
                <w:b w:val="false"/>
                <w:color w:val="000000"/>
                <w:sz w:val="13"/>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(a)No undistributed losses were allocated to unvested participating RSUs during the three and six months ended June 30, 2026 and 2025, as the holders do not have a contractual obligation to share in the losses of the Company with common stockholders.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(b)Dividends declared reflects the calendar date of the declaration for each distribution. The second quarter dividends were declared on August 4, 2026 and are payable on August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14. Equity-Based Compensation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Restricted Stock Unit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Company’s Omnibus Equity Incentive Plan (the “Omnibus Plan”), the Company is permitted to grant equity awards representing ownership interests in TPG Inc.’s Class A common stock. On March 3, 2026, an additional 6,383,349 shares of Class A common stock were registered, increasing the share reserve to 37,744,577, of which 30,533,650 were available to be issued as of June 30, 2026.</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Service Awards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Ordinary Service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grants equity awards subject to service conditions, granted as part of the Company’s standard incentive structure initiatives. These units generally vest over a term of three to five years. These awards are referred to as “Ordinary Service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also grants equity awards that are subject to service conditions, a portion of which are granted on a non-standard basis to reward or incentivize key contributions that advance the Company’s long-term goals of value creation. These non-standard awards are referred to as “Special Purpose Service Awards,” and collectively with Ordinary Service Awards, “Service Awards.” Dividend equivalents are paid on the vested and unvested portion of the Service Awards when the dividend occurs.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Service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conjunction with the IPO in 2022, TPG employees, certain of the Company’s executives and certain non-employees received one-time grants of equity-based awards in the form of Special Purpose Service Awards which entitle the holder to one share of Class A common stock upon vesting. These units generally vest over a term of four to six years.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Angelo Gordon, the Company agreed to grant an aggregate of 8.4 million Special Purpose Service Awards to former Angelo Gordon employees to promote retention post-closing, of which 5.0 million are outstanding to date. These units generally vest over a term of five years.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in connection with the acquisition of Peppertree, the Company granted 0.3 million Special Purpose Service Awards to former Peppertree employees. These units generally vest over a term of five years.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IPO Executive Service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Omnibus Plan and in conjunction with the IPO, the Company granted 1.1 million restricted stock units as Special Purpose Service Awards in order to incentivize and retain key members of management and further their alignment with our shareholders (the “IPO Executive Service Awards”). The IPO Executive Service Awards are subject to service-based vesting conditions over a five-year service period with vesting having commenced on the second anniversary of the grant date. Compensation expense for these awards is recognized on a straight-line basis.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CEO Service Award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Omnibus Plan, the Company granted a long-term performance incentive award to the Company’s CEO on November 30, 2023, comprised of 2.6 million restricted stock units as Special Purpose Service Awards, intended to incentivize the CEO to drive stockholder value in a manner that is aligned with stockholder interests, reward him for organic and inorganic Company growth, and bring his compensation in-line with peer competitors in order to promote and ensure retention (the “CEO Service Award”). The CEO Service Award is subject to service-based vesting conditions over a four-year service period and is scheduled to vest 25% on each of January 13, 2025, 2026, 2027 and 2028. Compensation expense for this award is recognized on a straight-line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Executive Chairman Service Award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Omnibus Plan, the Company granted a long-term performance incentive award to the Company’s Executive Chairman on August 19, 2025, comprised of 0.3 million restricted stock units as Special Purpose Service Awards,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Service Award”). The Executive Chairman Service Award is subject to service-based vesting conditions over a four-year service period and is scheduled to vest 25% on each of July 15, 2026, 2027, 2028 and 2029. Compensation expense for this award is recognized on a straight-line basis.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RSUs for Service Awards as of June 30, 2026 (in millions, including share data):</w:t>
      </w:r>
    </w:p>
    <w:tbl>
      <w:tblPr>
        <w:tblW w:w="10205" w:type="dxa"/>
        <w:jc w:val="center"/>
        <w:tblInd w:w="0" w:type="dxa"/>
        <w:tblLayout w:type="fixed"/>
        <w:tblCellMar>
          <w:top w:w="28" w:type="dxa"/>
          <w:left w:w="28" w:type="dxa"/>
          <w:bottom w:w="28" w:type="dxa"/>
          <w:right w:w="28" w:type="dxa"/>
        </w:tblCellMar>
      </w:tblPr>
      <w:tblGrid>
        <w:gridCol w:w="451"/>
        <w:gridCol w:w="397"/>
        <w:gridCol w:w="399"/>
        <w:gridCol w:w="460"/>
        <w:gridCol w:w="460"/>
        <w:gridCol w:w="462"/>
        <w:gridCol w:w="109"/>
        <w:gridCol w:w="109"/>
        <w:gridCol w:w="109"/>
        <w:gridCol w:w="247"/>
        <w:gridCol w:w="599"/>
        <w:gridCol w:w="127"/>
        <w:gridCol w:w="127"/>
        <w:gridCol w:w="127"/>
        <w:gridCol w:w="127"/>
        <w:gridCol w:w="247"/>
        <w:gridCol w:w="599"/>
        <w:gridCol w:w="127"/>
        <w:gridCol w:w="109"/>
        <w:gridCol w:w="109"/>
        <w:gridCol w:w="109"/>
        <w:gridCol w:w="237"/>
        <w:gridCol w:w="694"/>
        <w:gridCol w:w="122"/>
        <w:gridCol w:w="122"/>
        <w:gridCol w:w="122"/>
        <w:gridCol w:w="122"/>
        <w:gridCol w:w="237"/>
        <w:gridCol w:w="694"/>
        <w:gridCol w:w="122"/>
        <w:gridCol w:w="109"/>
        <w:gridCol w:w="109"/>
        <w:gridCol w:w="109"/>
        <w:gridCol w:w="382"/>
        <w:gridCol w:w="1118"/>
        <w:gridCol w:w="29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 Outstanding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Compensation Expense as of June 30, 2026</w:t>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Restricted Stock Units</w:t>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Service Awards</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Special Purpose Service Awards </w:t>
            </w:r>
          </w:p>
        </w:tc>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Service Award RSUs</w:t>
            </w:r>
          </w:p>
        </w:tc>
        <w:tc>
          <w:tcPr>
            <w:tcW w:w="138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For the six months ended June 30, 2026 and 2025 the Company granted 7.6 million and 3.5 million Service Awards, respectively. </w:t>
      </w:r>
      <w:r>
        <w:rPr>
          <w:rFonts w:ascii="Times New Roman;serif" w:hAnsi="Times New Roman;serif"/>
          <w:b w:val="false"/>
          <w:color w:val="000000"/>
          <w:sz w:val="20"/>
          <w:shd w:fill="FFFFFF" w:val="clear"/>
        </w:rPr>
        <w:t xml:space="preserve">The grant date fair value was the public share price on each respective grant date.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rollforward of the Company’s unvested Service Awards for the six months ended June 30, 2026 (awards in millions):</w:t>
      </w:r>
    </w:p>
    <w:p>
      <w:pPr>
        <w:pStyle w:val="TextBody"/>
        <w:bidi w:val="0"/>
        <w:spacing w:before="0" w:after="0"/>
        <w:jc w:val="center"/>
        <w:rPr/>
      </w:pPr>
      <w:r>
        <w:rPr/>
      </w:r>
    </w:p>
    <w:tbl>
      <w:tblPr>
        <w:tblW w:w="7659" w:type="dxa"/>
        <w:jc w:val="center"/>
        <w:tblInd w:w="0" w:type="dxa"/>
        <w:tblLayout w:type="fixed"/>
        <w:tblCellMar>
          <w:top w:w="28" w:type="dxa"/>
          <w:left w:w="28" w:type="dxa"/>
          <w:bottom w:w="28" w:type="dxa"/>
          <w:right w:w="28" w:type="dxa"/>
        </w:tblCellMar>
      </w:tblPr>
      <w:tblGrid>
        <w:gridCol w:w="971"/>
        <w:gridCol w:w="855"/>
        <w:gridCol w:w="858"/>
        <w:gridCol w:w="434"/>
        <w:gridCol w:w="434"/>
        <w:gridCol w:w="436"/>
        <w:gridCol w:w="109"/>
        <w:gridCol w:w="109"/>
        <w:gridCol w:w="109"/>
        <w:gridCol w:w="717"/>
        <w:gridCol w:w="2099"/>
        <w:gridCol w:w="52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8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$812.9 million of total estimated unrecognized compensation expense related to unvested Service Awards, which is expected to be recognized over the weighted average remaining requisite service period of 3.2 years.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Market and Performance Condition Awards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Ordinary Performance Condition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the Company grants equity awards, subject to a combination of service and performance conditions, as part of the Company’s standard incentive structure initiatives. These awards are referred to as (“Ordinary Performance Condition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grants equity awards that are subject to a combination of service and market conditions, granted on a non-standard basis to reward or incentivize key contributions that advance the Company’s long-term goals of value creation. These awards are referred to as (“Special Purpose Market Condition Awards,” and collectively with the Ordinary Performance Condition Awards, “Market and Performance Condition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IPO Executive Market Condition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Omnibus Plan and in conjunction with the IPO, the Company also granted 1.1 million restricted stock units as Special Purpose Market Condition Awards in order to incentivize and retain key members of management and further their alignment with our shareholders (the “IPO Executive Market Condition Awards”). The IPO Executive Market Condition Awards are subject to both market performance and service based vesting conditions, including (i) a time-based component requiring a five-year service period and (ii) a market price component with a target Class A common stock share price at $44.25 within five years and $59.00 within eight years. Dividend equivalents accrue on the vested and unvested Special Purpose Service Awards when the dividend occurs. Dividend equivalents accrue for the vested and unvested portions of the IPO Executive Market Condition Awards and are paid only when both the applicable service and market performance conditions are satisfied.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Compensation expense for the IPO Executive Market Condition Awards is recognized using the accelerated attribution method on a tranche-by-tranche basis. During 2024, both market price components of Class A common stock share price of $44.25 and $59.00 were met. During the six months ended June 30, 2026, 0.2 million IPO Executive Market Condition Awards vested.</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CEO Market Conditions Award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long-term performance incentive award granted to the CEO under the Omnibus Plan on November 30, 2023, is also comprised of 3.9 million restricted stock units as Special Purpose Market Condition Awards, and is intended to incentivize the CEO to drive stockholder value in a manner that is aligned with stockholder interests, reward him for organic and inorganic Company growth, and bring his compensation in line with peer competitors in order to promote and ensure retention (the “CEO Market Conditions Award”).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CEO Market Conditions Award is subject to both market performance and service based vesting conditions, including (i) a time-based component requiring a five-year service period and (ii) a market price component that is only achieved when the 30-day volume weighted average trading price of a share of Class A common stock meets or exceeds certain stock price hurdles. 25% of each service vesting tranche of the CEO Market Conditions Award is eligible to be earned and vest following achievement of each of the following Class A common stock prices: $52.50, $58.45, $64.05 and $70.00. These stock price hurdles represent a premium of 150%, 167%, 183% and 200%, respectively, of the closing price of a share of Class A common stock on the date of grant. The first market hurdle must be achieved by January 13, 2029, and the remaining hurdles by January 13, 2030. If the applicable market hurdles are not achieved by the specified periods, the applicable portions of the CEO Market Conditions Award will be forfeited. Restricted stock units from the CEO Market Conditions Award that (i) vest prior to January 13, 2029 will be settled promptly following January 13, 2029, and (ii) vest after January 13, 2029 will be settled promptly following January 13, 2030, subject to certain other accelerated settlement conditions. Dividend equivalents accrue for the vested and unvested portions of the CEO Market Conditions Award and are paid only if and when both the applicable service and market conditions are satisfied.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Compensation expense for the CEO Market Conditions Award is recognized using the accelerated attribution method on a tranche-by-tranche basis. During 2024, the first three market hurdles of the CEO Market Conditions Award of Class A common stock share prices of $52.50, $58.45 and $64.05 were met. As such, 20% of these tranches have vested or will vest on each of January 13, 2025, 2026, 2027, 2028 and 2029.</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Special Purpose Executive Chairman Market Conditions Award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long-term performance incentive award granted to the Executive Chairman under the Omnibus Plan on August 19, 2025, is also comprised of 0.5 million restricted stock units as Special Purpose Market Condition Awards, and is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Market Conditions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Executive Chairman Market Conditions Award is subject to both market performance and service based vesting conditions, including (i) a time-based component requiring a five-year service period and (ii) a market price component that is only achieved when the 30-trading day volume weighted average trading price of a share of Class A common stock meets or exceeds certain stock price hurdles. 25% of each service vesting tranche of the Executive Chairman Market Conditions Award is eligible to be earned and vest following achievement of each of the following Class A common stock prices: $90.98, $101.29, $110.99 and $121.30. These stock price hurdles represent a premium of 150%, 167%, 183% and 200%, respectively, of the closing price of a share of Class A common stock on the date of grant. The first market hurdle must be achieved by July 15, 2030, and the remaining hurdles by July 15, 2031. If the applicable market hurdles are not achieved by the specified periods, the applicable portions of the Executive Chairman Market Conditions Award will be forfeited. Restricted stock units from the Executive Chairman Market Conditions Award that (i) vest prior to July 15, 2030, will be settled promptly following July 15, 2030, and (ii) vest after July 15, 2030, will be settled promptly following July 15, 2031, subject to certain other accelerated settlement conditions. Dividend equivalents accrue for the vested and unvested portions of the Executive Chairman Market Conditions Award and are paid only if and when both the applicable service and market conditions are satisfied.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Compensation expense for the Executive Chairman Market Conditions Award is recognized using the accelerated attribution method on a tranche-by-tranche basis.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RSUs for Market and Performance Condition Awards as of June 30, 2026 (in millions, including share data):</w:t>
      </w:r>
    </w:p>
    <w:tbl>
      <w:tblPr>
        <w:tblW w:w="10205" w:type="dxa"/>
        <w:jc w:val="center"/>
        <w:tblInd w:w="0" w:type="dxa"/>
        <w:tblLayout w:type="fixed"/>
        <w:tblCellMar>
          <w:top w:w="28" w:type="dxa"/>
          <w:left w:w="28" w:type="dxa"/>
          <w:bottom w:w="28" w:type="dxa"/>
          <w:right w:w="28" w:type="dxa"/>
        </w:tblCellMar>
      </w:tblPr>
      <w:tblGrid>
        <w:gridCol w:w="758"/>
        <w:gridCol w:w="473"/>
        <w:gridCol w:w="474"/>
        <w:gridCol w:w="447"/>
        <w:gridCol w:w="447"/>
        <w:gridCol w:w="449"/>
        <w:gridCol w:w="109"/>
        <w:gridCol w:w="109"/>
        <w:gridCol w:w="109"/>
        <w:gridCol w:w="246"/>
        <w:gridCol w:w="473"/>
        <w:gridCol w:w="127"/>
        <w:gridCol w:w="127"/>
        <w:gridCol w:w="127"/>
        <w:gridCol w:w="127"/>
        <w:gridCol w:w="246"/>
        <w:gridCol w:w="595"/>
        <w:gridCol w:w="127"/>
        <w:gridCol w:w="109"/>
        <w:gridCol w:w="109"/>
        <w:gridCol w:w="109"/>
        <w:gridCol w:w="239"/>
        <w:gridCol w:w="580"/>
        <w:gridCol w:w="123"/>
        <w:gridCol w:w="123"/>
        <w:gridCol w:w="123"/>
        <w:gridCol w:w="123"/>
        <w:gridCol w:w="239"/>
        <w:gridCol w:w="580"/>
        <w:gridCol w:w="123"/>
        <w:gridCol w:w="109"/>
        <w:gridCol w:w="109"/>
        <w:gridCol w:w="109"/>
        <w:gridCol w:w="413"/>
        <w:gridCol w:w="1001"/>
        <w:gridCol w:w="314"/>
      </w:tblGrid>
      <w:tr>
        <w:trPr/>
        <w:tc>
          <w:tcPr>
            <w:tcW w:w="75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 Outstanding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Compensation Expense as of June 30, 2026</w:t>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Restricted Stock Units</w:t>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Performance Condition Awards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Purpose Market Condition Awards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Market and Performance Condition Award RSUs</w:t>
            </w:r>
          </w:p>
        </w:tc>
        <w:tc>
          <w:tcPr>
            <w:tcW w:w="8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roll forward of the Company’s unvested Special Purpose Market Condition Awards for the six months ended June 30, 2026 (awards in millions):</w:t>
      </w:r>
    </w:p>
    <w:tbl>
      <w:tblPr>
        <w:tblW w:w="9039" w:type="dxa"/>
        <w:jc w:val="center"/>
        <w:tblInd w:w="0" w:type="dxa"/>
        <w:tblLayout w:type="fixed"/>
        <w:tblCellMar>
          <w:top w:w="28" w:type="dxa"/>
          <w:left w:w="28" w:type="dxa"/>
          <w:bottom w:w="28" w:type="dxa"/>
          <w:right w:w="28" w:type="dxa"/>
        </w:tblCellMar>
      </w:tblPr>
      <w:tblGrid>
        <w:gridCol w:w="971"/>
        <w:gridCol w:w="855"/>
        <w:gridCol w:w="858"/>
        <w:gridCol w:w="899"/>
        <w:gridCol w:w="899"/>
        <w:gridCol w:w="901"/>
        <w:gridCol w:w="109"/>
        <w:gridCol w:w="109"/>
        <w:gridCol w:w="109"/>
        <w:gridCol w:w="716"/>
        <w:gridCol w:w="2091"/>
        <w:gridCol w:w="52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540"/>
              <w:jc w:val="center"/>
              <w:rPr>
                <w:rFonts w:ascii="Times New Roman;serif" w:hAnsi="Times New Roman;serif"/>
                <w:b/>
                <w:color w:val="000000"/>
                <w:sz w:val="18"/>
              </w:rPr>
            </w:pPr>
            <w:r>
              <w:rPr>
                <w:rFonts w:ascii="Times New Roman;serif" w:hAnsi="Times New Roman;serif"/>
                <w:b/>
                <w:color w:val="000000"/>
                <w:sz w:val="18"/>
              </w:rPr>
              <w:t>Market Condition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 unsettled</w:t>
            </w:r>
          </w:p>
        </w:tc>
        <w:tc>
          <w:tcPr>
            <w:tcW w:w="1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$30.1 million of total estimated unrecognized compensation expense related to unvested Special Purpose Market Condition Awards, which is expected to be recognized over the weighted average remaining requisite service period of 2.1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Total Restricted Stock Units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For the three and six months ended June 30, 2026, the Company recorded total restricted stock unit compensation expense of $94.0 million and $187.9 million, respectively. For the three and six months ended June 30, 2025, the Company recorded total restricted stock unit compensation expense of $85.4 million and $172.9 million, respectively. The expense associated with awards granted to certain non-employees of the Company is recognized in general, administrative and other in our Condensed </w:t>
      </w:r>
      <w:r>
        <w:rPr>
          <w:rFonts w:ascii="Times New Roman;serif" w:hAnsi="Times New Roman;serif"/>
          <w:b w:val="false"/>
          <w:color w:val="000000"/>
          <w:sz w:val="20"/>
          <w:shd w:fill="FFFFFF" w:val="clear"/>
        </w:rPr>
        <w:t>Consolidated Statements of Operations and tot</w:t>
      </w:r>
      <w:r>
        <w:rPr>
          <w:rFonts w:ascii="Times New Roman;serif" w:hAnsi="Times New Roman;serif"/>
          <w:b w:val="false"/>
          <w:color w:val="000000"/>
          <w:sz w:val="20"/>
        </w:rPr>
        <w:t>aled $2.0 million and $3.0 million for the three and six months ended June 30, 2026, respectively, and $4.3 million and $8.8 million for the three and six months ended June 30, 2025,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had 0.2 million and 8.3 million restricted stock units vest at a fair value of $9.3 million and $539.2 million, respectively (excluding vested, but unsettled units). The restricted stock units were settled by issuing 139,536 shares of TPG Inc. Class A common stock, net of withholding tax of $3.7 million for the three months ended June 30, 2026 and by issuing 5,024,865 shares of TPG Inc. Class A common stock, net of withholding tax of $211.0 million (excluding vested, but unsettled units) for the six months ended June 30, 2026. For the three and six months ended June 30, and 2025, the Company had 0.1 million and 7.5 million restricted stock units vest at a fair value of $3.6 million and $467.2 million, respectively (excluding vested, but unsettled units). The restricted stock units were settled by issuing 44,664 shares of TPG Inc. Class A common stock, net of withholding tax of $1.6 million for the three months ended June 30, 2025 and by issuing 4,599,206 shares of TPG Inc. Class A common stock, net of withholding tax of $181.7 million (excluding vested, but unsettled units) for the six months ended June 30,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all outstanding restricted stock unit awards as of June 30, 2026 (in millions, including share data):</w:t>
      </w:r>
    </w:p>
    <w:tbl>
      <w:tblPr>
        <w:tblW w:w="10205" w:type="dxa"/>
        <w:jc w:val="center"/>
        <w:tblInd w:w="0" w:type="dxa"/>
        <w:tblLayout w:type="fixed"/>
        <w:tblCellMar>
          <w:top w:w="28" w:type="dxa"/>
          <w:left w:w="28" w:type="dxa"/>
          <w:bottom w:w="28" w:type="dxa"/>
          <w:right w:w="28" w:type="dxa"/>
        </w:tblCellMar>
      </w:tblPr>
      <w:tblGrid>
        <w:gridCol w:w="607"/>
        <w:gridCol w:w="420"/>
        <w:gridCol w:w="421"/>
        <w:gridCol w:w="446"/>
        <w:gridCol w:w="446"/>
        <w:gridCol w:w="447"/>
        <w:gridCol w:w="109"/>
        <w:gridCol w:w="109"/>
        <w:gridCol w:w="109"/>
        <w:gridCol w:w="242"/>
        <w:gridCol w:w="586"/>
        <w:gridCol w:w="125"/>
        <w:gridCol w:w="125"/>
        <w:gridCol w:w="125"/>
        <w:gridCol w:w="125"/>
        <w:gridCol w:w="242"/>
        <w:gridCol w:w="586"/>
        <w:gridCol w:w="125"/>
        <w:gridCol w:w="109"/>
        <w:gridCol w:w="109"/>
        <w:gridCol w:w="109"/>
        <w:gridCol w:w="233"/>
        <w:gridCol w:w="683"/>
        <w:gridCol w:w="120"/>
        <w:gridCol w:w="120"/>
        <w:gridCol w:w="120"/>
        <w:gridCol w:w="120"/>
        <w:gridCol w:w="233"/>
        <w:gridCol w:w="683"/>
        <w:gridCol w:w="120"/>
        <w:gridCol w:w="109"/>
        <w:gridCol w:w="109"/>
        <w:gridCol w:w="109"/>
        <w:gridCol w:w="367"/>
        <w:gridCol w:w="1074"/>
        <w:gridCol w:w="283"/>
      </w:tblGrid>
      <w:tr>
        <w:trPr/>
        <w:tc>
          <w:tcPr>
            <w:tcW w:w="60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 Outstanding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Compensation Expense as of June 30, 2026</w:t>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Restricted Stock Units</w:t>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Ordinary Awards: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Service Awards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Performance Condition Awards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Special Purpose Awards: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Special Purpose Service Awards </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Purpose Market Condition Awards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Restricted Stock Units</w:t>
            </w:r>
          </w:p>
        </w:tc>
        <w:tc>
          <w:tcPr>
            <w:tcW w:w="8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Reorganization and the IPO in 2022, certain of the Company’s current partners hold restricted indirect interests in Common Units through TPG Partner Holdings and indirect economic interests through RemainCo. TPG Partner Holdings and RemainCo are presented as non-controlling interest holders within the Company’s Condensed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(collectively, the “Other IPO-Related Awards”) subject to both service and performance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Angelo Gordon,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Peppertree, the Company granted 5.4 million of unvested Common Units to Peppertree Co-Presidents (included in Common Units below), which are considered compensatory under ASC 718. These units generally vest over a term of five years and participate in distributions at the TPG Operating Group along with all vested equity.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Other Awards as of June 30, 2026 (in millions, including share data):</w:t>
      </w:r>
    </w:p>
    <w:tbl>
      <w:tblPr>
        <w:tblW w:w="10205" w:type="dxa"/>
        <w:jc w:val="center"/>
        <w:tblInd w:w="0" w:type="dxa"/>
        <w:tblLayout w:type="fixed"/>
        <w:tblCellMar>
          <w:top w:w="28" w:type="dxa"/>
          <w:left w:w="28" w:type="dxa"/>
          <w:bottom w:w="28" w:type="dxa"/>
          <w:right w:w="28" w:type="dxa"/>
        </w:tblCellMar>
      </w:tblPr>
      <w:tblGrid>
        <w:gridCol w:w="919"/>
        <w:gridCol w:w="810"/>
        <w:gridCol w:w="308"/>
        <w:gridCol w:w="426"/>
        <w:gridCol w:w="426"/>
        <w:gridCol w:w="427"/>
        <w:gridCol w:w="109"/>
        <w:gridCol w:w="109"/>
        <w:gridCol w:w="109"/>
        <w:gridCol w:w="225"/>
        <w:gridCol w:w="545"/>
        <w:gridCol w:w="116"/>
        <w:gridCol w:w="116"/>
        <w:gridCol w:w="116"/>
        <w:gridCol w:w="116"/>
        <w:gridCol w:w="225"/>
        <w:gridCol w:w="545"/>
        <w:gridCol w:w="116"/>
        <w:gridCol w:w="109"/>
        <w:gridCol w:w="109"/>
        <w:gridCol w:w="109"/>
        <w:gridCol w:w="221"/>
        <w:gridCol w:w="646"/>
        <w:gridCol w:w="114"/>
        <w:gridCol w:w="114"/>
        <w:gridCol w:w="114"/>
        <w:gridCol w:w="114"/>
        <w:gridCol w:w="221"/>
        <w:gridCol w:w="646"/>
        <w:gridCol w:w="114"/>
        <w:gridCol w:w="109"/>
        <w:gridCol w:w="109"/>
        <w:gridCol w:w="109"/>
        <w:gridCol w:w="316"/>
        <w:gridCol w:w="925"/>
        <w:gridCol w:w="243"/>
      </w:tblGrid>
      <w:tr>
        <w:trPr/>
        <w:tc>
          <w:tcPr>
            <w:tcW w:w="9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Unvested Units/Shares Outstanding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Expense 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 Compensation Expense as of June 30, 2026</w:t>
            </w:r>
          </w:p>
        </w:tc>
      </w:tr>
      <w:tr>
        <w:trPr/>
        <w:tc>
          <w:tcPr>
            <w:tcW w:w="2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TPH and RPH Units</w:t>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TPH units</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RPH units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TPH and RPH Units</w:t>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Acquisition-Related Common Units and Class A Common Stock</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Total Acquisition-Related Common Units and Class A Common Stock</w:t>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TPH and RPH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the TPH Units and RPH Units as compensation expense in accordance with ASC 718. The unvested TPH and RPH Units are recognized as equity-based compensation subject to primarily service vesting conditions and in certain cases performance conditions, some of which are deemed probable of achieving. The Company recognized compensation expense of $59.5 million and $123.9 million for the three and six months ended June 30, 2026, respectively. The Company recognized compensation expense of $69.5 million and $128.2 million for the three and six months ended June 30, 2025,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roll forwards of the Company’s unvested TPH Units and RPH Units for the six months ended June 30, 2026 (units in millions):</w:t>
      </w:r>
    </w:p>
    <w:tbl>
      <w:tblPr>
        <w:tblW w:w="10205" w:type="dxa"/>
        <w:jc w:val="left"/>
        <w:tblInd w:w="0" w:type="dxa"/>
        <w:tblLayout w:type="fixed"/>
        <w:tblCellMar>
          <w:top w:w="28" w:type="dxa"/>
          <w:left w:w="28" w:type="dxa"/>
          <w:bottom w:w="28" w:type="dxa"/>
          <w:right w:w="28" w:type="dxa"/>
        </w:tblCellMar>
      </w:tblPr>
      <w:tblGrid>
        <w:gridCol w:w="955"/>
        <w:gridCol w:w="837"/>
        <w:gridCol w:w="840"/>
        <w:gridCol w:w="489"/>
        <w:gridCol w:w="489"/>
        <w:gridCol w:w="491"/>
        <w:gridCol w:w="109"/>
        <w:gridCol w:w="109"/>
        <w:gridCol w:w="109"/>
        <w:gridCol w:w="405"/>
        <w:gridCol w:w="1186"/>
        <w:gridCol w:w="209"/>
        <w:gridCol w:w="109"/>
        <w:gridCol w:w="109"/>
        <w:gridCol w:w="109"/>
        <w:gridCol w:w="489"/>
        <w:gridCol w:w="489"/>
        <w:gridCol w:w="491"/>
        <w:gridCol w:w="109"/>
        <w:gridCol w:w="109"/>
        <w:gridCol w:w="109"/>
        <w:gridCol w:w="359"/>
        <w:gridCol w:w="1228"/>
        <w:gridCol w:w="267"/>
      </w:tblGrid>
      <w:tr>
        <w:trPr/>
        <w:tc>
          <w:tcPr>
            <w:tcW w:w="95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TPH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RPH Units</w:t>
            </w:r>
          </w:p>
        </w:tc>
      </w:tr>
      <w:tr>
        <w:trPr/>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 Fair Value</w:t>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Reallocated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forfeited TPH Units were reallocated to certain existing unit holders in accordance with the applicable governing documents. The grant date fair value of the reallocated awards was determined based on the fair value of TPG’s common stock at the time of reallocation. As of June 30, 2026, there was approximately $324.9 million of total estimated unrecognized compensation expense related to outstanding unvested awards, of which TPH Units and RPH Units represented $298.7 million and $26.2 million, respectively.</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Acquisition-Related Common Units and Class A Common Stock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718, all Other Awards are also recognized as equity-based compensation. The Company recognized compensation expense of $65.1 million and $150.6 million for the three and six months ended June 30, 2026, respectively. The expense for the three and six months ended June 30, 2025 totaled $47.7 million and $100.4 million, respectively. As TPG Operating Group holders would accrete pro-rata or benefit directly upon forfeiture of those awards, this compensation expense was allocated pro-rata to all controlling and non-controlling interest holders of TPG Inc.</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roll forwards of the Company’s unvested TOG Units and Class A Common Stock Awards for the six months ended June 30, 2026 (awards in millions):</w:t>
      </w:r>
    </w:p>
    <w:tbl>
      <w:tblPr>
        <w:tblW w:w="6806" w:type="dxa"/>
        <w:jc w:val="left"/>
        <w:tblInd w:w="0" w:type="dxa"/>
        <w:tblLayout w:type="fixed"/>
        <w:tblCellMar>
          <w:top w:w="28" w:type="dxa"/>
          <w:left w:w="28" w:type="dxa"/>
          <w:bottom w:w="28" w:type="dxa"/>
          <w:right w:w="28" w:type="dxa"/>
        </w:tblCellMar>
      </w:tblPr>
      <w:tblGrid>
        <w:gridCol w:w="971"/>
        <w:gridCol w:w="855"/>
        <w:gridCol w:w="858"/>
        <w:gridCol w:w="494"/>
        <w:gridCol w:w="494"/>
        <w:gridCol w:w="496"/>
        <w:gridCol w:w="109"/>
        <w:gridCol w:w="109"/>
        <w:gridCol w:w="109"/>
        <w:gridCol w:w="412"/>
        <w:gridCol w:w="1205"/>
        <w:gridCol w:w="213"/>
        <w:gridCol w:w="109"/>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Partnership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9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pPr>
      <w:r>
        <w:rPr>
          <w:rFonts w:ascii="Times New Roman;serif" w:hAnsi="Times New Roman;serif"/>
          <w:b w:val="false"/>
          <w:color w:val="000000"/>
          <w:sz w:val="20"/>
          <w:shd w:fill="FFFFFF" w:val="clear"/>
        </w:rPr>
        <w:t>Total unrecognized compensation expense related to outstanding unvested awards as of June 30, 2026 wa</w:t>
      </w:r>
      <w:r>
        <w:rPr>
          <w:rFonts w:ascii="Times New Roman;serif" w:hAnsi="Times New Roman;serif"/>
          <w:b w:val="false"/>
          <w:color w:val="000000"/>
          <w:sz w:val="20"/>
        </w:rPr>
        <w:t>s $648.8 million.</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Liability Classified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Note 3, the Company granted Common Unit awards to certain Peppertree Parties in conjunction with the acquisition of Peppertree, which are considered liability-classified awards under ASC 718. The awards require both continuous service over an estimated period of five years and satisfaction of certain fee-related revenue targets during the period beginning on January 1, 2028 and ending on December 31, 2028 and certain fundraising targets. These liability-classified awards will be settled with a variable number of both vested and unvested Common Units upon the satisfaction of the fee-related revenue and fundraising targets and do not participate in TPG Operating Group distributions before settlement. For the six months ended June 30, 2026, the Company recognized compensation expense of $23.3 million related to these liability-classified awards with a corresponding increase in other liabilities.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acquisition of Angelo Gordon, the Company granted liability-classified Common Unit awards to Angelo Gordon partners. Those awards represent the compensatory portion of the Earnout Payment under ASC 718 and as such, require both continuous service over a period of five years and the satisfaction of fee-related revenue targets during the period beginning on January 1, 2026 and ending on December 31, 2026. These liability-classified awards will be settled with a variable number of both vested and unvested Common Units upon the satisfaction of the fee-related revenue targets and do not participate in TPG Operating Group distributions before settlement. During 2025, the Company determined that it is not probable the Company will need to settle the Earnout Payment. Accordingly, the Company has not recognized any compensation expense related to these liability-classified awards since it was determined it was not probable the performance condition will be achieved. For the three and six months ended June 30, 2025, the Company recognized compensation expense of $9.9 million and $19.7 million, respectively, related to its liability-classified awards with a corresponding increase in other liabilities.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liability-classified awards discussed above will be remeasured every reporting period and are based on the satisfaction of the respective fee-related revenue and fundraising targets, if applicable. Compensation expense for these awards are recognized using the accelerated attribution method on a tranche-by-tranche basis. Total unrecognized compensation expense related to these awards as of June 30, 2026 was $119.5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TRTX Awards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TRTX Awards granted to certain employees of the Company are recorded in other assets and due to affiliates in the Condensed Consolidated Statements of Financial Condition. The grant date fair value of the asset is amortized on a straight-line basis over the vesting period as equity-based compensation expense. During the three and six months ended June 30, 2026, the Company recognized $2.8 million and $3.3 million, respectively, of equity-based compensation expense in the Condensed Consolidated Statements of Operations. During the three and six months ended June 30, 2025, the Company recognized $1.5 million and $2.9 million, respectively, of equity-based compensation expense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Equity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have the same rights and privileges as, rank equally and share ratably with, and are identical in all respects as to all matters to, the Class A common stock, except that the nonvoting Class A common stock have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June 30, 2026, 159,896,089 shares of Class A common stock and 6,605,963 shares of nonvoting Class A common stock were outstanding, 217,809,708 shares of Class B common stock were outstanding, and there were no shares of preferred stock outstanding.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Transaction described in Note 4, the Company issued 2,279,109 shares of Class A common stock to a subsidiary of Jackson. The Company determined that the Class A shares issued were not in exchange for a distinct good or service and therefore determined that the shares issued to the customer represent a reduction of transaction price associated with the investment management agreement. Accordingly, the Company recognized the issuance of the Class A shares within other assets on the Company’s Condensed Consolidated Statements of Financial Condition which will be amortized as a reduction of fees and other in the Company’s Condensed Consolidated Statements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Dividends and distributions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Dividends and distributions are reflected in the Condensed Consolidated Statements of Changes in Equity when declared by the board of directors. Dividends are made to Class A common stockholders and distributions are made to holders of non-controlling interests in subsidiaries.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the quarterly dividends on the Class A common stock, which were made at the sole discretion of the Board of Directors of the Company.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0"/>
        <w:gridCol w:w="1084"/>
        <w:gridCol w:w="1090"/>
        <w:gridCol w:w="109"/>
        <w:gridCol w:w="109"/>
        <w:gridCol w:w="109"/>
        <w:gridCol w:w="554"/>
        <w:gridCol w:w="514"/>
        <w:gridCol w:w="512"/>
        <w:gridCol w:w="109"/>
        <w:gridCol w:w="109"/>
        <w:gridCol w:w="109"/>
        <w:gridCol w:w="514"/>
        <w:gridCol w:w="500"/>
        <w:gridCol w:w="495"/>
        <w:gridCol w:w="109"/>
        <w:gridCol w:w="109"/>
        <w:gridCol w:w="109"/>
        <w:gridCol w:w="649"/>
        <w:gridCol w:w="1572"/>
        <w:gridCol w:w="480"/>
      </w:tblGrid>
      <w:tr>
        <w:trPr/>
        <w:tc>
          <w:tcPr>
            <w:tcW w:w="126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Class A Common Share</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2025 Dividend Year (through Q4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2026 Dividend Year (through 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TPG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Exchanges of Common Units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For the periods ended June 30, 2026 and December 31, 2025, the following Common Units were exchanged for Class A common stock: </w:t>
      </w:r>
    </w:p>
    <w:tbl>
      <w:tblPr>
        <w:tblW w:w="4540" w:type="dxa"/>
        <w:jc w:val="left"/>
        <w:tblInd w:w="0" w:type="dxa"/>
        <w:tblLayout w:type="fixed"/>
        <w:tblCellMar>
          <w:top w:w="28" w:type="dxa"/>
          <w:left w:w="28" w:type="dxa"/>
          <w:bottom w:w="28" w:type="dxa"/>
          <w:right w:w="28" w:type="dxa"/>
        </w:tblCellMar>
      </w:tblPr>
      <w:tblGrid>
        <w:gridCol w:w="602"/>
        <w:gridCol w:w="529"/>
        <w:gridCol w:w="533"/>
        <w:gridCol w:w="109"/>
        <w:gridCol w:w="109"/>
        <w:gridCol w:w="109"/>
        <w:gridCol w:w="746"/>
        <w:gridCol w:w="746"/>
        <w:gridCol w:w="1057"/>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8"/>
              </w:rPr>
            </w:pPr>
            <w:r>
              <w:rPr>
                <w:rFonts w:ascii="Times New Roman;serif" w:hAnsi="Times New Roman;serif"/>
                <w:b/>
                <w:color w:val="000000"/>
                <w:sz w:val="18"/>
              </w:rPr>
              <w:t>Class A Common Stock Issued</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2025 Exchanges</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9,786,354</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21,000,000</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5,153,040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2026 Exchange</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6,042,619</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(a)The issuances of shares of Class A common stock to such holders of Common Units were registered pursuant to the Company’s registration statements on Form S-3 filed on November 2, 2023 and September 13, 2024.</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supplemental non-cash financing activities related to equity for the Condensed Consolidated Statements of Cash Flows are as follows (in thousands):</w:t>
      </w:r>
    </w:p>
    <w:tbl>
      <w:tblPr>
        <w:tblW w:w="8196" w:type="dxa"/>
        <w:jc w:val="center"/>
        <w:tblInd w:w="0" w:type="dxa"/>
        <w:tblLayout w:type="fixed"/>
        <w:tblCellMar>
          <w:top w:w="28" w:type="dxa"/>
          <w:left w:w="28" w:type="dxa"/>
          <w:bottom w:w="28" w:type="dxa"/>
          <w:right w:w="28" w:type="dxa"/>
        </w:tblCellMar>
      </w:tblPr>
      <w:tblGrid>
        <w:gridCol w:w="1961"/>
        <w:gridCol w:w="1723"/>
        <w:gridCol w:w="1731"/>
        <w:gridCol w:w="109"/>
        <w:gridCol w:w="211"/>
        <w:gridCol w:w="721"/>
        <w:gridCol w:w="109"/>
        <w:gridCol w:w="109"/>
        <w:gridCol w:w="109"/>
        <w:gridCol w:w="109"/>
        <w:gridCol w:w="211"/>
        <w:gridCol w:w="721"/>
        <w:gridCol w:w="109"/>
        <w:gridCol w:w="109"/>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holders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holders of other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in-kind to holders of other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Deconsolidation of previously 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connection with Jackson Transaction</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than the events noted in the footnotes to the Condensed Consolidated Financial Statements, there have been no additional events since June 30, 2026 that require recognition or disclosure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those identified below and elsewhere in this report, particularly in “Cautionary Note Regarding Forward-Looking Statements,” and “Item 1A.—Risk Factors” and should be read in conjunction with our Annual Report on Form 10-K for the year ended December 31, 2025 filed with the SEC on February 17, 2026.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is a leading global alternative asset manager with $326.8 billion in assets under management (“AUM”) as of June 30, 2026.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offer a broad range of investment strategies across the alternative asset management landscape, primarily in private equity, credit and real estate, and have constructed a high-quality base of assets under management within attractive sub-segments of these asset classes. The strength of our investment performance and our proven ability to innovate within our business, together with our ongoing focus on strategic, inorganic growth has led to consistent historical increase in our assets under management, all with the support of a scaled infrastructure that provides our business with a high degree of operating leverage.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differentiated operating model unites our investment products and global footprint around a cohesive commercial framework. Our team-oriented culture fosters collaboration and alignment, supports our shared investment themes approach to sourcing and executing deals and leads to attractive returns for our investors. Through multiple decades of experience, we have developed an ecosystem of insight, engagement and collaboration across our platforms and products, which currently include more than 450 active portfolio companies, approximately 300 real estate properties and over 6,500 credit positions, across more than 33 countries.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firm consists of six multi-strategy investment platforms: (1) Capital, (2) Growth, (3) Impact, (4) Credit,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these products provide to our clients.</w:t>
      </w:r>
    </w:p>
    <w:p>
      <w:pPr>
        <w:pStyle w:val="TextBody"/>
        <w:bidi w:val="0"/>
        <w:spacing w:before="24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8"/>
        <w:gridCol w:w="306"/>
        <w:gridCol w:w="307"/>
        <w:gridCol w:w="454"/>
        <w:gridCol w:w="454"/>
        <w:gridCol w:w="459"/>
        <w:gridCol w:w="509"/>
        <w:gridCol w:w="428"/>
        <w:gridCol w:w="434"/>
        <w:gridCol w:w="611"/>
        <w:gridCol w:w="611"/>
        <w:gridCol w:w="616"/>
        <w:gridCol w:w="469"/>
        <w:gridCol w:w="469"/>
        <w:gridCol w:w="475"/>
        <w:gridCol w:w="348"/>
        <w:gridCol w:w="240"/>
        <w:gridCol w:w="240"/>
        <w:gridCol w:w="285"/>
        <w:gridCol w:w="245"/>
        <w:gridCol w:w="246"/>
        <w:gridCol w:w="616"/>
        <w:gridCol w:w="441"/>
        <w:gridCol w:w="59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24"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093A5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Capital</w:t>
            </w:r>
          </w:p>
        </w:tc>
        <w:tc>
          <w:tcPr>
            <w:tcW w:w="1371" w:type="dxa"/>
            <w:gridSpan w:val="3"/>
            <w:tcBorders/>
            <w:shd w:fill="093A5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Growth</w:t>
            </w:r>
          </w:p>
        </w:tc>
        <w:tc>
          <w:tcPr>
            <w:tcW w:w="1838" w:type="dxa"/>
            <w:gridSpan w:val="3"/>
            <w:tcBorders/>
            <w:shd w:fill="093A5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Impact</w:t>
            </w:r>
          </w:p>
        </w:tc>
        <w:tc>
          <w:tcPr>
            <w:tcW w:w="1413" w:type="dxa"/>
            <w:gridSpan w:val="3"/>
            <w:tcBorders/>
            <w:shd w:fill="093A5B" w:val="clear"/>
            <w:tcMar>
              <w:top w:w="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 </w:t>
            </w:r>
            <w:r>
              <w:rPr>
                <w:rFonts w:ascii="Times New Roman;serif" w:hAnsi="Times New Roman;serif"/>
                <w:b/>
                <w:color w:val="FFFFFF"/>
                <w:sz w:val="18"/>
              </w:rPr>
              <w:t>Credit</w:t>
            </w:r>
          </w:p>
        </w:tc>
        <w:tc>
          <w:tcPr>
            <w:tcW w:w="1604" w:type="dxa"/>
            <w:gridSpan w:val="6"/>
            <w:tcBorders/>
            <w:shd w:fill="093A5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Real Estate</w:t>
            </w:r>
          </w:p>
        </w:tc>
        <w:tc>
          <w:tcPr>
            <w:tcW w:w="1651" w:type="dxa"/>
            <w:gridSpan w:val="3"/>
            <w:tcBorders/>
            <w:shd w:fill="093A5B"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Market Solutions</w:t>
            </w:r>
          </w:p>
        </w:tc>
      </w:tr>
      <w:tr>
        <w:trPr/>
        <w:tc>
          <w:tcPr>
            <w:tcW w:w="961" w:type="dxa"/>
            <w:gridSpan w:val="3"/>
            <w:vMerge w:val="restart"/>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Platforms</w:t>
            </w:r>
          </w:p>
        </w:tc>
        <w:tc>
          <w:tcPr>
            <w:tcW w:w="1367" w:type="dxa"/>
            <w:gridSpan w:val="3"/>
            <w:tcBorders>
              <w:left w:val="single" w:sz="8" w:space="0" w:color="FFFFFF"/>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Focused on large scale, control / co-control and thematic investments</w:t>
            </w:r>
          </w:p>
        </w:tc>
        <w:tc>
          <w:tcPr>
            <w:tcW w:w="1371" w:type="dxa"/>
            <w:gridSpan w:val="3"/>
            <w:tcBorders>
              <w:left w:val="single" w:sz="8" w:space="0" w:color="FFFFFF"/>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Flexible investing platform focused on rapidly growing businesses </w:t>
            </w:r>
          </w:p>
        </w:tc>
        <w:tc>
          <w:tcPr>
            <w:tcW w:w="1838" w:type="dxa"/>
            <w:gridSpan w:val="3"/>
            <w:tcBorders>
              <w:left w:val="single" w:sz="8" w:space="0" w:color="FFFFFF"/>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Leading global impact investing platform pursuing societal benefits &amp; financial returns at scale</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Diversified solutions across a wide range of credit opportunities</w:t>
            </w:r>
          </w:p>
        </w:tc>
        <w:tc>
          <w:tcPr>
            <w:tcW w:w="1604" w:type="dxa"/>
            <w:gridSpan w:val="6"/>
            <w:tcBorders>
              <w:bottom w:val="single" w:sz="6" w:space="0" w:color="DDDDDD"/>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Multi-product, diversified real estate investing platform</w:t>
            </w:r>
          </w:p>
        </w:tc>
        <w:tc>
          <w:tcPr>
            <w:tcW w:w="1651" w:type="dxa"/>
            <w:gridSpan w:val="3"/>
            <w:tcBorders>
              <w:left w:val="single" w:sz="8" w:space="0" w:color="FFFFFF"/>
              <w:right w:val="single" w:sz="8" w:space="0" w:color="FFFFFF"/>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Platform focused on leveraging the TPG ecosystem to address market opportunities</w:t>
            </w:r>
          </w:p>
        </w:tc>
      </w:tr>
      <w:tr>
        <w:trPr/>
        <w:tc>
          <w:tcPr>
            <w:tcW w:w="961" w:type="dxa"/>
            <w:gridSpan w:val="3"/>
            <w:vMerge w:val="continue"/>
            <w:tcBorders>
              <w:top w:val="single" w:sz="8" w:space="0" w:color="FFFFFF"/>
              <w:left w:val="single" w:sz="8" w:space="0" w:color="FFFFFF"/>
            </w:tcBorders>
            <w:shd w:fill="DBDBDB" w:val="clear"/>
            <w:tcMar>
              <w:top w:w="30" w:type="dxa"/>
              <w:bottom w:w="0" w:type="dxa"/>
              <w:right w:w="0" w:type="dxa"/>
            </w:tcMar>
            <w:vAlign w:val="center"/>
          </w:tcPr>
          <w:p>
            <w:pPr>
              <w:pStyle w:val="Normal"/>
              <w:bidi w:val="0"/>
              <w:jc w:val="left"/>
              <w:rPr/>
            </w:pPr>
            <w:r>
              <w:rPr/>
            </w:r>
          </w:p>
        </w:tc>
        <w:tc>
          <w:tcPr>
            <w:tcW w:w="1367"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88" w:before="160" w:after="240"/>
              <w:jc w:val="center"/>
              <w:rPr>
                <w:rFonts w:ascii="Times New Roman;serif" w:hAnsi="Times New Roman;serif"/>
                <w:b w:val="false"/>
                <w:color w:val="000000"/>
                <w:sz w:val="20"/>
              </w:rPr>
            </w:pPr>
            <w:r>
              <w:rPr>
                <w:rFonts w:ascii="Times New Roman;serif" w:hAnsi="Times New Roman;serif"/>
                <w:b w:val="false"/>
                <w:color w:val="000000"/>
                <w:sz w:val="20"/>
              </w:rPr>
              <w:t>$94.1 billion</w:t>
              <w:br/>
              <w:t>AUM</w:t>
            </w:r>
          </w:p>
        </w:tc>
        <w:tc>
          <w:tcPr>
            <w:tcW w:w="1371"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0"/>
              </w:rPr>
              <w:t>$34.6 billion</w:t>
            </w:r>
            <w:r>
              <w:rPr>
                <w:color w:val="000000"/>
              </w:rPr>
              <w:t xml:space="preserve"> </w:t>
            </w:r>
            <w:r>
              <w:rPr>
                <w:rFonts w:ascii="Times New Roman;serif" w:hAnsi="Times New Roman;serif"/>
                <w:b w:val="false"/>
                <w:color w:val="000000"/>
                <w:sz w:val="20"/>
              </w:rPr>
              <w:br/>
              <w:t>AUM</w:t>
            </w:r>
          </w:p>
        </w:tc>
        <w:tc>
          <w:tcPr>
            <w:tcW w:w="1838"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0"/>
              </w:rPr>
              <w:t>$34.9 billion</w:t>
            </w:r>
            <w:r>
              <w:rPr>
                <w:color w:val="000000"/>
              </w:rPr>
              <w:t xml:space="preserve"> </w:t>
            </w:r>
            <w:r>
              <w:rPr>
                <w:rFonts w:ascii="Times New Roman;serif" w:hAnsi="Times New Roman;serif"/>
                <w:b w:val="false"/>
                <w:color w:val="000000"/>
                <w:sz w:val="20"/>
              </w:rPr>
              <w:br/>
              <w:t>AUM</w:t>
            </w:r>
          </w:p>
        </w:tc>
        <w:tc>
          <w:tcPr>
            <w:tcW w:w="1413"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88" w:before="0" w:after="240"/>
              <w:jc w:val="center"/>
              <w:rPr/>
            </w:pPr>
            <w:r>
              <w:rPr>
                <w:rFonts w:ascii="Times New Roman;serif" w:hAnsi="Times New Roman;serif"/>
                <w:b w:val="false"/>
                <w:color w:val="000000"/>
                <w:sz w:val="20"/>
              </w:rPr>
              <w:t>$101.2 billion</w:t>
            </w:r>
            <w:r>
              <w:rPr>
                <w:color w:val="000000"/>
              </w:rPr>
              <w:t xml:space="preserve"> </w:t>
            </w:r>
            <w:r>
              <w:rPr>
                <w:rFonts w:ascii="Times New Roman;serif" w:hAnsi="Times New Roman;serif"/>
                <w:b w:val="false"/>
                <w:color w:val="000000"/>
                <w:sz w:val="20"/>
              </w:rPr>
              <w:br/>
              <w:t>AUM</w:t>
            </w:r>
          </w:p>
        </w:tc>
        <w:tc>
          <w:tcPr>
            <w:tcW w:w="1604" w:type="dxa"/>
            <w:gridSpan w:val="6"/>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$41.9 billion</w:t>
              <w:br/>
              <w:t>AUM</w:t>
            </w:r>
          </w:p>
        </w:tc>
        <w:tc>
          <w:tcPr>
            <w:tcW w:w="1651" w:type="dxa"/>
            <w:gridSpan w:val="3"/>
            <w:tcBorders>
              <w:top w:val="single" w:sz="6" w:space="0" w:color="DDDDDD"/>
              <w:left w:val="single" w:sz="8" w:space="0" w:color="FFFFFF"/>
              <w:right w:val="single" w:sz="8" w:space="0" w:color="FFFFFF"/>
            </w:tcBorders>
            <w:tcMar>
              <w:top w:w="30" w:type="dxa"/>
              <w:bottom w:w="0" w:type="dxa"/>
            </w:tcMar>
            <w:vAlign w:val="center"/>
          </w:tcPr>
          <w:p>
            <w:pPr>
              <w:pStyle w:val="TableContents"/>
              <w:bidi w:val="0"/>
              <w:spacing w:lineRule="auto" w:line="288" w:before="0" w:after="240"/>
              <w:jc w:val="center"/>
              <w:rPr/>
            </w:pPr>
            <w:r>
              <w:rPr>
                <w:rFonts w:ascii="Times New Roman;serif" w:hAnsi="Times New Roman;serif"/>
                <w:b w:val="false"/>
                <w:color w:val="000000"/>
                <w:sz w:val="20"/>
              </w:rPr>
              <w:t>$20.1 billion</w:t>
            </w:r>
            <w:r>
              <w:rPr>
                <w:color w:val="000000"/>
              </w:rPr>
              <w:t xml:space="preserve"> </w:t>
            </w:r>
            <w:r>
              <w:rPr>
                <w:rFonts w:ascii="Times New Roman;serif" w:hAnsi="Times New Roman;serif"/>
                <w:b w:val="false"/>
                <w:color w:val="000000"/>
                <w:sz w:val="20"/>
              </w:rPr>
              <w:br/>
              <w:t>AUM</w:t>
            </w:r>
          </w:p>
        </w:tc>
      </w:tr>
      <w:tr>
        <w:trPr/>
        <w:tc>
          <w:tcPr>
            <w:tcW w:w="961" w:type="dxa"/>
            <w:gridSpan w:val="3"/>
            <w:tcBorders>
              <w:left w:val="single" w:sz="8" w:space="0" w:color="FFFFFF"/>
              <w:bottom w:val="single" w:sz="6" w:space="0" w:color="DDDDDD"/>
            </w:tcBorders>
            <w:tcMar>
              <w:top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left w:val="single" w:sz="8" w:space="0" w:color="FFFFFF"/>
              <w:right w:val="single" w:sz="8" w:space="0" w:color="FFFFFF"/>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left w:val="single" w:sz="8" w:space="0" w:color="FFFFFF"/>
            </w:tcBorders>
            <w:shd w:fill="DBDBDB"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Products</w:t>
            </w:r>
          </w:p>
        </w:tc>
        <w:tc>
          <w:tcPr>
            <w:tcW w:w="1367"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49" w:before="0" w:after="283"/>
              <w:jc w:val="center"/>
              <w:rPr>
                <w:rFonts w:ascii="Times New Roman;serif" w:hAnsi="Times New Roman;serif"/>
                <w:b w:val="false"/>
                <w:color w:val="000000"/>
                <w:sz w:val="18"/>
              </w:rPr>
            </w:pPr>
            <w:r>
              <w:rPr>
                <w:rFonts w:ascii="Times New Roman;serif" w:hAnsi="Times New Roman;serif"/>
                <w:b w:val="false"/>
                <w:color w:val="000000"/>
                <w:sz w:val="18"/>
              </w:rPr>
              <w:t>TPG Capital</w:t>
            </w:r>
          </w:p>
        </w:tc>
        <w:tc>
          <w:tcPr>
            <w:tcW w:w="1371"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49" w:before="0" w:after="283"/>
              <w:jc w:val="center"/>
              <w:rPr>
                <w:rFonts w:ascii="Times New Roman;serif" w:hAnsi="Times New Roman;serif"/>
                <w:b w:val="false"/>
                <w:color w:val="000000"/>
                <w:sz w:val="18"/>
              </w:rPr>
            </w:pPr>
            <w:r>
              <w:rPr>
                <w:rFonts w:ascii="Times New Roman;serif" w:hAnsi="Times New Roman;serif"/>
                <w:b w:val="false"/>
                <w:color w:val="000000"/>
                <w:sz w:val="18"/>
              </w:rPr>
              <w:t>TPG Growth</w:t>
            </w:r>
          </w:p>
        </w:tc>
        <w:tc>
          <w:tcPr>
            <w:tcW w:w="1838"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49" w:before="0" w:after="300"/>
              <w:jc w:val="center"/>
              <w:rPr>
                <w:rFonts w:ascii="Times New Roman;serif" w:hAnsi="Times New Roman;serif"/>
                <w:b w:val="false"/>
                <w:color w:val="000000"/>
                <w:sz w:val="18"/>
              </w:rPr>
            </w:pPr>
            <w:r>
              <w:rPr>
                <w:rFonts w:ascii="Times New Roman;serif" w:hAnsi="Times New Roman;serif"/>
                <w:b w:val="false"/>
                <w:color w:val="000000"/>
                <w:sz w:val="18"/>
              </w:rPr>
              <w:t>The Rise Funds</w:t>
            </w:r>
          </w:p>
        </w:tc>
        <w:tc>
          <w:tcPr>
            <w:tcW w:w="1413"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Credit Solutions</w:t>
            </w:r>
          </w:p>
        </w:tc>
        <w:tc>
          <w:tcPr>
            <w:tcW w:w="828" w:type="dxa"/>
            <w:gridSpan w:val="3"/>
            <w:tcBorders>
              <w:top w:val="single" w:sz="6" w:space="0" w:color="DDDDDD"/>
              <w:left w:val="single" w:sz="8" w:space="0" w:color="FFFFFF"/>
            </w:tcBorders>
            <w:tcMar>
              <w:top w:w="3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TREP</w:t>
            </w:r>
          </w:p>
        </w:tc>
        <w:tc>
          <w:tcPr>
            <w:tcW w:w="776" w:type="dxa"/>
            <w:gridSpan w:val="3"/>
            <w:tcBorders>
              <w:top w:val="single" w:sz="6" w:space="0" w:color="DDDDDD"/>
            </w:tcBorders>
            <w:tcMar>
              <w:top w:w="3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AG U.S. Real Estate</w:t>
            </w:r>
          </w:p>
        </w:tc>
        <w:tc>
          <w:tcPr>
            <w:tcW w:w="1651" w:type="dxa"/>
            <w:gridSpan w:val="3"/>
            <w:tcBorders>
              <w:top w:val="single" w:sz="6" w:space="0" w:color="DDDDDD"/>
              <w:right w:val="single" w:sz="8" w:space="0" w:color="FFFFFF"/>
            </w:tcBorders>
            <w:tcMar>
              <w:top w:w="30" w:type="dxa"/>
              <w:left w:w="0" w:type="dxa"/>
              <w:bottom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GP Solutions</w:t>
            </w:r>
          </w:p>
        </w:tc>
      </w:tr>
      <w:tr>
        <w:trPr/>
        <w:tc>
          <w:tcPr>
            <w:tcW w:w="961" w:type="dxa"/>
            <w:gridSpan w:val="3"/>
            <w:vMerge w:val="continue"/>
            <w:tcBorders>
              <w:left w:val="single" w:sz="8" w:space="0" w:color="FFFFFF"/>
            </w:tcBorders>
            <w:shd w:fill="DBDBDB" w:val="clear"/>
            <w:tcMar>
              <w:top w:w="0" w:type="dxa"/>
              <w:bottom w:w="0" w:type="dxa"/>
              <w:right w:w="0" w:type="dxa"/>
            </w:tcMar>
            <w:vAlign w:val="center"/>
          </w:tcPr>
          <w:p>
            <w:pPr>
              <w:pStyle w:val="Normal"/>
              <w:bidi w:val="0"/>
              <w:jc w:val="left"/>
              <w:rPr/>
            </w:pPr>
            <w:r>
              <w:rPr/>
            </w:r>
          </w:p>
        </w:tc>
        <w:tc>
          <w:tcPr>
            <w:tcW w:w="1367"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480"/>
              <w:jc w:val="center"/>
              <w:rPr>
                <w:rFonts w:ascii="Times New Roman;serif" w:hAnsi="Times New Roman;serif"/>
                <w:b w:val="false"/>
                <w:color w:val="000000"/>
                <w:sz w:val="18"/>
              </w:rPr>
            </w:pPr>
            <w:r>
              <w:rPr>
                <w:rFonts w:ascii="Times New Roman;serif" w:hAnsi="Times New Roman;serif"/>
                <w:b w:val="false"/>
                <w:color w:val="000000"/>
                <w:sz w:val="18"/>
              </w:rPr>
              <w:t>TPG Healthcare Partners</w:t>
            </w:r>
          </w:p>
        </w:tc>
        <w:tc>
          <w:tcPr>
            <w:tcW w:w="137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480"/>
              <w:jc w:val="center"/>
              <w:rPr>
                <w:rFonts w:ascii="Times New Roman;serif" w:hAnsi="Times New Roman;serif"/>
                <w:b w:val="false"/>
                <w:color w:val="000000"/>
                <w:sz w:val="18"/>
              </w:rPr>
            </w:pPr>
            <w:r>
              <w:rPr>
                <w:rFonts w:ascii="Times New Roman;serif" w:hAnsi="Times New Roman;serif"/>
                <w:b w:val="false"/>
                <w:color w:val="000000"/>
                <w:sz w:val="18"/>
              </w:rPr>
              <w:t>TPG Tech Adjacencies</w:t>
            </w:r>
          </w:p>
        </w:tc>
        <w:tc>
          <w:tcPr>
            <w:tcW w:w="183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Rise Climate</w:t>
            </w:r>
          </w:p>
        </w:tc>
        <w:tc>
          <w:tcPr>
            <w:tcW w:w="1413"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Direct Lending</w:t>
            </w:r>
          </w:p>
        </w:tc>
        <w:tc>
          <w:tcPr>
            <w:tcW w:w="82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TRECO</w:t>
            </w:r>
          </w:p>
        </w:tc>
        <w:tc>
          <w:tcPr>
            <w:tcW w:w="776"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AG Europe Real Estate</w:t>
            </w:r>
          </w:p>
        </w:tc>
        <w:tc>
          <w:tcPr>
            <w:tcW w:w="165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NewQuest</w:t>
            </w:r>
          </w:p>
        </w:tc>
      </w:tr>
      <w:tr>
        <w:trPr/>
        <w:tc>
          <w:tcPr>
            <w:tcW w:w="961" w:type="dxa"/>
            <w:gridSpan w:val="3"/>
            <w:vMerge w:val="continue"/>
            <w:tcBorders>
              <w:left w:val="single" w:sz="8" w:space="0" w:color="FFFFFF"/>
            </w:tcBorders>
            <w:shd w:fill="DBDBDB" w:val="clear"/>
            <w:tcMar>
              <w:top w:w="0" w:type="dxa"/>
              <w:bottom w:w="0" w:type="dxa"/>
              <w:right w:w="0" w:type="dxa"/>
            </w:tcMar>
            <w:vAlign w:val="center"/>
          </w:tcPr>
          <w:p>
            <w:pPr>
              <w:pStyle w:val="Normal"/>
              <w:bidi w:val="0"/>
              <w:jc w:val="left"/>
              <w:rPr/>
            </w:pPr>
            <w:r>
              <w:rPr/>
            </w:r>
          </w:p>
        </w:tc>
        <w:tc>
          <w:tcPr>
            <w:tcW w:w="1367"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283"/>
              <w:jc w:val="center"/>
              <w:rPr>
                <w:rFonts w:ascii="Times New Roman;serif" w:hAnsi="Times New Roman;serif"/>
                <w:b w:val="false"/>
                <w:color w:val="000000"/>
                <w:sz w:val="18"/>
              </w:rPr>
            </w:pPr>
            <w:r>
              <w:rPr>
                <w:rFonts w:ascii="Times New Roman;serif" w:hAnsi="Times New Roman;serif"/>
                <w:b w:val="false"/>
                <w:color w:val="000000"/>
                <w:sz w:val="18"/>
              </w:rPr>
              <w:t>TPG Asia</w:t>
            </w:r>
          </w:p>
        </w:tc>
        <w:tc>
          <w:tcPr>
            <w:tcW w:w="137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480"/>
              <w:jc w:val="center"/>
              <w:rPr>
                <w:rFonts w:ascii="Times New Roman;serif" w:hAnsi="Times New Roman;serif"/>
                <w:b w:val="false"/>
                <w:color w:val="000000"/>
                <w:sz w:val="18"/>
              </w:rPr>
            </w:pPr>
            <w:r>
              <w:rPr>
                <w:rFonts w:ascii="Times New Roman;serif" w:hAnsi="Times New Roman;serif"/>
                <w:b w:val="false"/>
                <w:color w:val="000000"/>
                <w:sz w:val="18"/>
              </w:rPr>
              <w:t>TPG Life Sciences Innovations</w:t>
            </w:r>
          </w:p>
        </w:tc>
        <w:tc>
          <w:tcPr>
            <w:tcW w:w="183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283"/>
              <w:jc w:val="center"/>
              <w:rPr>
                <w:rFonts w:ascii="Times New Roman;serif" w:hAnsi="Times New Roman;serif"/>
                <w:b w:val="false"/>
                <w:color w:val="000000"/>
                <w:sz w:val="18"/>
              </w:rPr>
            </w:pPr>
            <w:r>
              <w:rPr>
                <w:rFonts w:ascii="Times New Roman;serif" w:hAnsi="Times New Roman;serif"/>
                <w:b w:val="false"/>
                <w:color w:val="000000"/>
                <w:sz w:val="18"/>
              </w:rPr>
              <w:t>TRC Transition Infrastructure</w:t>
            </w:r>
          </w:p>
        </w:tc>
        <w:tc>
          <w:tcPr>
            <w:tcW w:w="1413"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Asset Based Finance</w:t>
            </w:r>
          </w:p>
        </w:tc>
        <w:tc>
          <w:tcPr>
            <w:tcW w:w="82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TRTX</w:t>
            </w:r>
          </w:p>
        </w:tc>
        <w:tc>
          <w:tcPr>
            <w:tcW w:w="776"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Asia Real Estate</w:t>
            </w:r>
          </w:p>
        </w:tc>
        <w:tc>
          <w:tcPr>
            <w:tcW w:w="165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Peppertree</w:t>
            </w:r>
          </w:p>
        </w:tc>
      </w:tr>
      <w:tr>
        <w:trPr/>
        <w:tc>
          <w:tcPr>
            <w:tcW w:w="961" w:type="dxa"/>
            <w:gridSpan w:val="3"/>
            <w:vMerge w:val="continue"/>
            <w:tcBorders>
              <w:left w:val="single" w:sz="8" w:space="0" w:color="FFFFFF"/>
            </w:tcBorders>
            <w:shd w:fill="DBDBDB" w:val="clear"/>
            <w:tcMar>
              <w:top w:w="0" w:type="dxa"/>
              <w:bottom w:w="0" w:type="dxa"/>
              <w:right w:w="0" w:type="dxa"/>
            </w:tcMar>
            <w:vAlign w:val="center"/>
          </w:tcPr>
          <w:p>
            <w:pPr>
              <w:pStyle w:val="Normal"/>
              <w:bidi w:val="0"/>
              <w:jc w:val="left"/>
              <w:rPr/>
            </w:pPr>
            <w:r>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Emerging Companies Asia</w:t>
            </w:r>
          </w:p>
        </w:tc>
        <w:tc>
          <w:tcPr>
            <w:tcW w:w="183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TRC Global South Initiative</w:t>
            </w:r>
          </w:p>
        </w:tc>
        <w:tc>
          <w:tcPr>
            <w:tcW w:w="1413"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CLOs</w:t>
            </w:r>
          </w:p>
        </w:tc>
        <w:tc>
          <w:tcPr>
            <w:tcW w:w="82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TAC+</w:t>
            </w:r>
          </w:p>
        </w:tc>
        <w:tc>
          <w:tcPr>
            <w:tcW w:w="776"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Net Lease</w:t>
            </w:r>
          </w:p>
        </w:tc>
        <w:tc>
          <w:tcPr>
            <w:tcW w:w="165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TPG Private Equity Opportunities </w:t>
            </w:r>
          </w:p>
        </w:tc>
      </w:tr>
      <w:tr>
        <w:trPr/>
        <w:tc>
          <w:tcPr>
            <w:tcW w:w="961" w:type="dxa"/>
            <w:gridSpan w:val="3"/>
            <w:vMerge w:val="continue"/>
            <w:tcBorders>
              <w:left w:val="single" w:sz="8" w:space="0" w:color="FFFFFF"/>
            </w:tcBorders>
            <w:shd w:fill="DBDBDB" w:val="clear"/>
            <w:tcMar>
              <w:top w:w="0" w:type="dxa"/>
              <w:bottom w:w="0" w:type="dxa"/>
              <w:right w:w="0" w:type="dxa"/>
            </w:tcMar>
            <w:vAlign w:val="center"/>
          </w:tcPr>
          <w:p>
            <w:pPr>
              <w:pStyle w:val="Normal"/>
              <w:bidi w:val="0"/>
              <w:jc w:val="left"/>
              <w:rPr/>
            </w:pPr>
            <w:r>
              <w:rPr/>
            </w:r>
          </w:p>
        </w:tc>
        <w:tc>
          <w:tcPr>
            <w:tcW w:w="136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Sports</w:t>
            </w:r>
          </w:p>
        </w:tc>
        <w:tc>
          <w:tcPr>
            <w:tcW w:w="1838"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NEXT</w:t>
            </w:r>
          </w:p>
        </w:tc>
        <w:tc>
          <w:tcPr>
            <w:tcW w:w="1413" w:type="dxa"/>
            <w:gridSpan w:val="3"/>
            <w:tcBorders>
              <w:left w:val="single" w:sz="8" w:space="0" w:color="FFFFFF"/>
            </w:tcBorders>
            <w:tcMar>
              <w:top w:w="0" w:type="dxa"/>
              <w:bottom w:w="0" w:type="dxa"/>
              <w:right w:w="0" w:type="dxa"/>
            </w:tcMar>
            <w:vAlign w:val="center"/>
          </w:tcPr>
          <w:p>
            <w:pPr>
              <w:pStyle w:val="TableContents"/>
              <w:bidi w:val="0"/>
              <w:spacing w:lineRule="auto" w:line="249" w:before="0" w:after="0"/>
              <w:jc w:val="center"/>
              <w:rPr>
                <w:rFonts w:ascii="Times New Roman;serif" w:hAnsi="Times New Roman;serif"/>
                <w:b w:val="false"/>
                <w:color w:val="000000"/>
                <w:sz w:val="18"/>
              </w:rPr>
            </w:pPr>
            <w:r>
              <w:rPr>
                <w:rFonts w:ascii="Times New Roman;serif" w:hAnsi="Times New Roman;serif"/>
                <w:b w:val="false"/>
                <w:color w:val="000000"/>
                <w:sz w:val="18"/>
              </w:rPr>
              <w:t>TPG Multi-Asset Credit</w:t>
            </w:r>
          </w:p>
        </w:tc>
        <w:tc>
          <w:tcPr>
            <w:tcW w:w="828"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jc w:val="both"/>
        <w:rPr/>
      </w:pPr>
      <w:r>
        <w:rPr>
          <w:rFonts w:ascii="Times New Roman;serif" w:hAnsi="Times New Roman;serif"/>
          <w:b w:val="false"/>
          <w:color w:val="000000"/>
          <w:sz w:val="16"/>
        </w:rPr>
        <w:t>Note: AUM as of June 30,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Platforms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Platform: Capital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Capital platform is focused on large-scale, control-oriented private equity investments. We pursue opportunities across geographies and specialize in sectors where we have developed deep thematic expertise over time. Our Capital platform funds are organized in three primary products: (1) TPG Capital, (2) TPG Healthcare Partners and (3) TPG Asia.</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Capital platform as of June 30, 2026 (dollars in billions):</w:t>
      </w:r>
    </w:p>
    <w:p>
      <w:pPr>
        <w:pStyle w:val="TextBody"/>
        <w:bidi w:val="0"/>
        <w:spacing w:before="0" w:after="0"/>
        <w:jc w:val="left"/>
        <w:rPr/>
      </w:pPr>
      <w:r>
        <w:rPr/>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0"/>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Capital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Capital is our North America and Europe-focused private equity investing business, with $60.7 billion in assets under management as of June 30, 2026. TPG Capital employs a sector-driven, highly thematic approach to sourcing and primarily seeks to invest in traditional buyouts, transformational deals such as corporate carve-outs and large-scale growth equity transactions. We invest in market leaders with fundamentally strong business models that are expected to benefit from long-term secular growth trends. We also seek to help our portfolio companies accelerate their growth under our ownership through a variety of operational improvements, such as by leveraging our human capital team to upgrade or enhance our management teams and boards, and by investing in organic and inorganic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Healthcare Partners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TPG Healthcare Partners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Asia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was one of the first alternative asset management firms to establish a dedicated Asia franchise and began investing in the region in 1994. Currently, TPG Asia focuses on pursuing investments in the Asia-Pacific region, including Australia, India, Korea and Southeast Asia, with $23.6 billion in assets under management as of June 30, 2026. Our distributed regional footprint has provided a foundation for us to pursue highly attractive investing opportunities in the region with both new and existing products and strategies. We invest through a variety of transaction structures, including through partnerships with large corporations and families.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Platform: Growth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Growth is our dedicated growth equity and middle market investing platform. It provides us with a flexible mandate to invest in companies across our core sectors that are earlier in their life cycle, are smaller in size and/or have different profiles than would be considered for our Capital platform. Our Growth funds are organized in five primary products: (1) TPG Growth, (2) TPG Tech Adjacencies, (3) TPG Life Sciences Innovations, (4) TPG Emerging Companies Asia and (5) TPG Sports.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Growth platform as of June 30, 2026 (dollars in billions):</w:t>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Growth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Growth is our dedicated growth equity and middle market investing product, with $21.2 billion in assets under management as of June 30, 2026. TPG Growth seeks to make growth buyout and growth equity investments, primarily in North America and India.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Tech Adjacencies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Tech Adjacencies (“TTAD”), with $10.1 billion in assets under management as of June 30, 2026, is a product we developed organically to pursue minority and/or structured investments in internet, software, digital media and other technology sectors. Specifically, TTAD aims to provide flexible capital for founders, employees and early investors seeking liquidity, as well as primary structured equity solutions for companies looking for additional, creative capital for growth.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Life Sciences Innovations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Life Sciences Innovations (“LSI”) was launched in 2023 and seeks to invest in the life sciences sector in novel therapeutics as well as digital health, medical devices, diagnostics and tech-enabled services. LSI invests across different therapeutic areas and stages, from company creation to IPO, and leverages TPG’s broad experience in the healthcare sector.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Emerging Companies Asia</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Emerging Companies Asia (“TECA”) is our new lower-to-middle market growth buyout strategy focused on developed markets in the APAC region, primarily Australia, New Zealand, Southeast Asia and South Korea. TECA leverages our 30-year track record in Asia and deep sector specialization to invest in profitable companies benefitting from regional tailwinds. TECA targets control-oriented transactions, while selectively pursing minority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Sports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Sports is our dedicated strategy focused on pursuing investment opportunities in the sports ecosystem. TPG Sports aims to provide strategic primary capital and business building capabilities to operating companies and technology providers serving the sports market, and to invest in sports IP (i.e., leagues, teams and events).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Platform: Impact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multi-fund Impact platform, which we believe is among the largest in the industry, pursues competitive, non-concessionary financial returns while also providing measurable societal benefits at scale, harnessing the diverse skills of a differentiated group of value-add stakeholders including: </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i/>
          <w:color w:val="000000"/>
          <w:sz w:val="20"/>
        </w:rPr>
        <w:t xml:space="preserve">Y Analytics: </w:t>
      </w:r>
      <w:r>
        <w:rPr>
          <w:rFonts w:ascii="Times New Roman;serif" w:hAnsi="Times New Roman;serif"/>
          <w:b w:val="false"/>
          <w:color w:val="000000"/>
          <w:sz w:val="20"/>
        </w:rPr>
        <w:t>A public benefit organization that is wholly owned by TPG, which functions as TPG’s firm-wide responsible investing and impact performance arm, and among other services, provides impact research and rigorous assessment for impact investments.</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i/>
          <w:color w:val="000000"/>
          <w:sz w:val="20"/>
        </w:rPr>
        <w:t xml:space="preserve">The TPG Rise Global Advisory Board: </w:t>
      </w:r>
      <w:r>
        <w:rPr>
          <w:rFonts w:ascii="Times New Roman;serif" w:hAnsi="Times New Roman;serif"/>
          <w:b w:val="false"/>
          <w:color w:val="000000"/>
          <w:sz w:val="20"/>
        </w:rPr>
        <w:t>A group of investors experienced with driving social and environmental change and financial returns.</w:t>
      </w:r>
    </w:p>
    <w:p>
      <w:pPr>
        <w:pStyle w:val="TextBody"/>
        <w:bidi w:val="0"/>
        <w:spacing w:lineRule="auto" w:line="288" w:before="240" w:after="283"/>
        <w:ind w:left="0" w:right="0" w:firstLine="540"/>
        <w:jc w:val="both"/>
        <w:rPr/>
      </w:pPr>
      <w:r>
        <w:rPr>
          <w:color w:val="000000"/>
        </w:rPr>
        <w:t>•</w:t>
      </w:r>
      <w:r>
        <w:rPr>
          <w:rFonts w:ascii="Times New Roman;serif" w:hAnsi="Times New Roman;serif"/>
          <w:b w:val="false"/>
          <w:i/>
          <w:color w:val="000000"/>
          <w:sz w:val="20"/>
        </w:rPr>
        <w:t xml:space="preserve">The TPG Rise Climate Coalition: </w:t>
      </w:r>
      <w:r>
        <w:rPr>
          <w:rFonts w:ascii="Times New Roman;serif" w:hAnsi="Times New Roman;serif"/>
          <w:b w:val="false"/>
          <w:color w:val="000000"/>
          <w:sz w:val="20"/>
        </w:rPr>
        <w:t>A partnership between TPG and 33 leading global enterprises that are investors in TPG Rise Climate to accelerate the sharing of knowledge, best practices and investment opportunities arising from the energy transition among the group and more broadly across the TPG Impact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demonstrated that our impact investments can deliver profit and positive impact in tandem. Our Impact funds are organized in five primary products: (1) The Rise Funds, (2) TPG Rise Climate, (3) TPG Rise Climate Transition Infrastructure, (4) TPG Rise Climate Global South Initiative and (5) TPG NEXT.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Impact platform as of June 30, 2026 (dollars in billions):</w:t>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The Rise Funds </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Rise Funds are our dedicated vehicles for investing globally in companies that generate business performance and strong returns alongside a demonstrable and significant positive societal impact, with $10.9 billion in assets under management as of June 30, 2026. The Rise Funds’ core areas of focus include climate and conservation, education, financial inclusion, food and agriculture, healthcare and impact services.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Rise Climate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Launched in 2021, TPG Rise Climate (“Rise Climate”) is our dedicated climate private equity impact investing product, which has raised $17.1 billion in total commitments. Rise Climate applies TPG’s private equity capabilities to pursue climate-related investments in thematic areas including clean electrons, clean molecules and materials and adaptive solutions, all without sacrificing our focus on financial returns. Rise Climate has a global focus and invests opportunistically across buyouts, carve-outs and growth equity transactions.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Rise Climate Transition Infrastructure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Rise Climate Transition Infrastructure (“Rise Climate TI”) is our newly formed product focused on investing in infrastructure businesses and assets that we believe have or will have positive climate impact. Rise Climate TI pursues climate-related investments in thematic areas including clean electrons, clean molecules and materials and adaptive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solutions, seeking to capture return opportunities between core infrastructure and private equity within the energy transition, green mobility, negative emissions and sustainable fuels sectors.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Rise Climate Global South Initiative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Rise Climate Global South Initiative (“GSI”) is our sidecar product to TPG Rise Climate and a dedicated pool of capital focused on climate-related investments in countries that are not members of the OECD (such non-OECD countries, collectively, the “Global South”). GSI is an expansion of Rise Climate’s strategy and seeks to direct large-scale capital towards ready-to-scale climate solutions to catalyze their adoption by the Global South, in countries where TPG has an existing footprint and investment track record.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TPG NEXT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NEXT provides strategic minority capital and custom operational support to help emerging managers establish, build and scale their firms. TPG announced the launch of the inaugural TPG NEXT fund in 2022 to use the power of TPG’s platform—including its capital, network and 30-plus year track record of business building—to accelerate the growth and de-risk the success of the next generation of alternative investment managers. Firms that partner with TPG NEXT gain access to TPG’s network, operational and investment capabilities, and ecosystem to support strategic business building and expansion.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Platform: Credit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TPG’s alternative credit products (collectively referred to as “Credit”) are: (1) TPG Credit Solutions, (2) TPG Direct Lending, (3) TPG Asset Based Finance, (4) TPG CLOs and (5) TPG Multi-Asset Credit. Credit’s capabilities span private and tradable credit across corporate and asset-backed markets. </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Credit platform as of June 30, 2026 (dollars in billions):</w:t>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Credit Solutions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Credit Solutions, with $21.9 billion in assets under management as of June 30, 2026, invests in stressed, distressed and special situation corporate credit opportunities, primarily in North America and Europe, and can dynamically pivot between the public and private markets. TPG Credit Solutions employs what we believe to be a differentiated, solutions-based approach that is capable of being executed in any market environment. TPG Credit Solutions seeks to align with companies, financial sponsors and business owners and to use its structuring skill and flexible capital base to create bespoke, bilaterally-negotiated financing transactions that help resolve complex and idiosyncratic financial challenges. TPG Credit Solutions funds may also opportunistically invest in securities acquired at what the investment team believes are discounted prices relative to their intrinsic value and offer the potential for contractual income and/or price appreciation. TPG Credit Solutions invests through the Credit Solutions, Essential Housing and Hybrid Solutions closed-end funds, as well as the Corporate Credit Opportunities open-ended fund.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Direct Lending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Direct Lending focuses on sourcing, underwriting and actively managing a diversified portfolio of lower middle market, senior secured loans, including revolvers and first lien debt, and seeks to deliver stable and attractive returns while minimizing volatility and protecting the downside. As a direct lender to private equity backed lower middle market companies primarily with $25.0 million of EBITDA or less, the product focuses on sourcing differentiated opportunities from our long-standing and diverse set of sponsor relationships. TPG Direct Lending includes the TPG AG Middle Market Direct Lending (“MMDL”) closed-end fund series and evergreen vehicle, SMAs, TPG Advantage Direct Lending (“ADL”), as well as a public, non-traded business development company (“BDC”), TPG Twin Brook Capital Income Fund (“TCAP”). As of June 30, 2026, TPG Direct Lending had $36.1 billion in assets under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Asset Based Finance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Asset Based Finance focuses on investment-grade asset-based finance and direct lending, with opportunities to expand through additional strategies over time. TPG Asset Based Finance invests through a variety of vehicles including the Mortgage Value Partners Fund open-ended hedge fund, the Asset Based Credit closed-end fund series and evergreen vehicle, SMAs and TPG Mortgage Investment Trust, Inc. (NYSE: MITT) (“MITT”), which is an externally managed, publicly traded residential mortgage real estate investment trust. As of June 30, 2026, TPG Asset Based Finance had $32.0 billion in assets under management.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CLOs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CLOs, with $8.7 billion in assets under management as of June 30, 2026, invest predominantly in non-investment grade senior secured bank loans. TPG CLOs investment team consists of members in both New York and London. The U.S. CLOs invest in U.S. dollar-denominated broadly syndicated loans, and the European CLOs invest in Euro-denominated loans and secured bonds. Our global platform allows us to provide our investors with diversification across industries and geographies as we construct well diversified, liquid portfolios that are actively traded. In addition to TPG CLOs, the platform also manages bespoke performing credit vehicles and commingled closed end CLO funds.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Multi-Asset Credit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Multi-Asset Credit, with $2.5 billion in assets under management as of June 30, 2026, invests across the breadth of Credit, with a geographic focus in the United States and Western Europe. TPG Multi-Asset Credit offers actively managed co-mingled funds, including the Super Fund, which changed its name to Dynamic Credit Income Fund, effective January 1, 2026, in addition to bespoke vehicles and various multi-strategy credit funds-of-one. These funds invest in public and private investment opportunities sourced from across Credit, as well as arbitrage strategies, including convertible arbitrage and merger arbitrage. TPG Multi-Asset Credit funds invest in, among other products, corporate loans and bonds, residential, consumer and asset-based loans and securities, hybrid instruments and derivative securities, including currency and interest rate hedges.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Platform: Real Estate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our real estate investing practice in 2009 to pursue real estate investments systematically and at significant scale. TPG’s real estate products (collectively referred to as “Real Estate”) are (1) TPG Real Estate Partners, (2) TPG Real Estate Thematic Advantage Core-Plus, (3) TPG AG U.S. Real Estate, (4) TPG AG Europe Real Estate, (5) TPG Asia Real Estate, (6) TPG Net Lease, (7) TPG RE Finance Trust, Inc. and (8) TPG Real Estate Credit Opportunities. TPG Real Estate products in the United States, Asia and Europe primarily focus on the acquisition of equity interests of underperforming and undervalued assets, where we can employ our opportunistic and value-add strategies to improve performance. We believe Real Estate’s extensive and proprietary network of operating partners across each of the regions where we operate positions us to effectively identify inefficiencies and source opportunities on an off-market basis. TPG Net Lease primarily invests in single tenant commercial real estate acquired in simultaneous sale-leaseback transactions. </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Real Estate platform as of June 30, 2026 (dollars in billions):</w:t>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Real Estate Partners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Real Estate Partners (“TREP”), with $12.0 billion in assets under management as of June 30, 2026, focuses on acquiring and building platforms,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Real Estate Thematic Advantage Core-Plus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Real Estate Thematic Advantage Core-Plus (“TAC+”), with $4.0 billion in assets under management as of June 30, 2026,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 </w:t>
      </w:r>
    </w:p>
    <w:p>
      <w:pPr>
        <w:pStyle w:val="TextBody"/>
        <w:bidi w:val="0"/>
        <w:spacing w:lineRule="auto" w:line="26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AG U.S. Real Estate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AG U.S. Real Estate, with $5.7 billion in assets under management as of June 30, 2026,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AG Europe Real Estate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AG Europe Real Estate, with $4.9 billion in assets under management as of June 30, 2026, manages assets across Europe, with investments primarily located in major cities in Western Europe and the United Kingdom. TPG AG Europe Real Estate focuses on sub-performing and distressed real estate assets. The TPG AG Europe Real Estate portfolio includes industrial, residential, office, hotel, retail, student housing, self-storage and other asset types.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TPG Asia Real Estate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Asia Real Estate, with $6.3 billion in assets under management as of June 30, 2026, manages assets across Asia, with investments primarily in Japan, South Korea, Hong Kong, China and Singapore. TPG Asia Real Estate focuses on capitalizing on opportunistic investments primarily created through situations such as a lack of real estate expertise, illiquidity or distress. The TPG Asia Real Estate portfolio includes office, industrial, residential, hotel, retail, life science and other asset types.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Net Lease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Net Lease, with $2.3 billion in assets under management as of June 30, 2026, focuses on single tenant commercial real estate, generally leased to non-investment grade tenants, largely acquired in simultaneous sale-leaseback transactions. TPG Net Lease primarily purchases existing facilities that are integral to the ongoing operations of the tenants, such as a company’s manufacturing plant or distribution centers. TPG Net Lease manages assets primarily located within the United States, with certain assets in the United Kingdom, Western Europe, Canada and Mexico.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Real Estate Credit</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TPG RE Finance Trust, Inc.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June 30, 2026, the TRTX loan investment portfolio consisted of 52 first mortgage loans (or interests therein) and total loan commitments of $4.5 billion. </w:t>
      </w:r>
    </w:p>
    <w:p>
      <w:pPr>
        <w:pStyle w:val="TextBody"/>
        <w:bidi w:val="0"/>
        <w:spacing w:lineRule="auto" w:line="288" w:before="20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TPG Real Estate Credit Opportunities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Real Estate Credit Opportunities (“TRECO”), which was established in 2023,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seeks to invest opportunistically across the credit spectrum.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Platform: Market Solutions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Market Solutions platform leverages the broader TPG ecosystem to create differentiated products in order to address specific market opportunities. </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data about our Market Solutions platform as of June 30, 2026 (dollars in billions):</w:t>
      </w:r>
    </w:p>
    <w:tbl>
      <w:tblPr>
        <w:tblW w:w="5847"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494"/>
        <w:gridCol w:w="494"/>
        <w:gridCol w:w="496"/>
        <w:gridCol w:w="109"/>
        <w:gridCol w:w="109"/>
        <w:gridCol w:w="109"/>
        <w:gridCol w:w="374"/>
        <w:gridCol w:w="374"/>
        <w:gridCol w:w="376"/>
        <w:gridCol w:w="109"/>
        <w:gridCol w:w="109"/>
        <w:gridCol w:w="109"/>
        <w:gridCol w:w="479"/>
        <w:gridCol w:w="479"/>
        <w:gridCol w:w="481"/>
        <w:gridCol w:w="109"/>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Fee-earning 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Active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Available Capital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GP-led Secondaries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private markets solutions business provides single asset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 </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NewQuest Capital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NewQuest seeks to acquire private equity positions on a secondary basis in underlying portfolio companies whose businesses are substantially based in the Asia Pacific region. With $3.1 billion in assets under management as of June 30, 2026, NewQuest is principally focused on complex secondary transactions. </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 xml:space="preserve">TPG GP Solutions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Established in 2021, TGS was created to invest in high-quality, stable private equity assets, which are principally based in North America and Europe, in partnership with third-party general partners. With $3.9 billion in assets under management as of June 30, 2026, TGS brings a primary private equity approach to the general partner-led secondaries market that leverages the TGS team’s deep investing experience and the insights and expertise of the broader TPG ecosystem.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Private Equity Opportunities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TPG Private Equity Opportunities (“T-POP”) seeks to create an attractive and diversified portfolio of private equity assets primarily through making direct co-investments in transactions executed by TPG’s private equity strategies. Structured as a perpetual investment solution, T-POP accepts fully funded subscriptions monthly and aims to provide limited partners a liquidity option by means of a quarterly redemption program. T-POP launched in June 2025 and as of June 30, 2026, had $2.3 billion in assets under management.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Product: TPG Peppertree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Peppertree was formed in 2004 and acquired by TPG in July 2025. TPG Peppertree specializes in investing in wireless communication towers within the digital infrastructure space. With $8.9 billion in assets under management as of June 30, 2026, TPG Peppertree has made more than 180 investments through ten flagship funds, supporting the construction and acquisition of more than 11,000 wireless communication infrastructure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Product: Capital Markets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dedicated capital markets group centralizes our in-house debt and equity advisory expertise and optimizes capital solutions for our investment professionals and portfolio companies. Primary activities include: </w:t>
      </w:r>
    </w:p>
    <w:p>
      <w:pPr>
        <w:pStyle w:val="TextBody"/>
        <w:bidi w:val="0"/>
        <w:spacing w:lineRule="auto" w:line="288" w:before="240" w:after="283"/>
        <w:ind w:left="0" w:right="0" w:firstLine="540"/>
        <w:jc w:val="both"/>
        <w:rPr/>
      </w:pPr>
      <w:r>
        <w:rPr>
          <w:color w:val="000000"/>
        </w:rPr>
        <w:t xml:space="preserve">• </w:t>
      </w:r>
      <w:r>
        <w:rPr>
          <w:rFonts w:ascii="Times New Roman;serif" w:hAnsi="Times New Roman;serif"/>
          <w:b w:val="false"/>
          <w:i/>
          <w:color w:val="000000"/>
          <w:sz w:val="20"/>
        </w:rPr>
        <w:t>Debt Capital Markets:</w:t>
      </w:r>
      <w:r>
        <w:rPr>
          <w:color w:val="000000"/>
        </w:rPr>
        <w:t xml:space="preserve"> </w:t>
      </w:r>
      <w:r>
        <w:rPr>
          <w:rFonts w:ascii="Times New Roman;serif" w:hAnsi="Times New Roman;serif"/>
          <w:b w:val="false"/>
          <w:color w:val="000000"/>
          <w:sz w:val="20"/>
        </w:rPr>
        <w:t xml:space="preserve">(i) Structure and execute new deal and acquisition financings across leveraged loans, high yield bonds and mezzanine debt (privately placed and syndicated) and (ii) manage capital structures on an ongoing basis, including re-financings, re-pricings, hedging, amendments and extensions and other services. </w:t>
      </w:r>
    </w:p>
    <w:p>
      <w:pPr>
        <w:pStyle w:val="TextBody"/>
        <w:bidi w:val="0"/>
        <w:spacing w:lineRule="auto" w:line="288" w:before="240" w:after="283"/>
        <w:ind w:left="0" w:right="0" w:firstLine="540"/>
        <w:jc w:val="both"/>
        <w:rPr/>
      </w:pPr>
      <w:r>
        <w:rPr>
          <w:color w:val="000000"/>
        </w:rPr>
        <w:t xml:space="preserve">• </w:t>
      </w:r>
      <w:r>
        <w:rPr>
          <w:rFonts w:ascii="Times New Roman;serif" w:hAnsi="Times New Roman;serif"/>
          <w:b w:val="false"/>
          <w:i/>
          <w:color w:val="000000"/>
          <w:sz w:val="20"/>
        </w:rPr>
        <w:t>Equity Capital Markets:</w:t>
      </w:r>
      <w:r>
        <w:rPr>
          <w:color w:val="000000"/>
        </w:rPr>
        <w:t xml:space="preserve"> </w:t>
      </w:r>
      <w:r>
        <w:rPr>
          <w:rFonts w:ascii="Times New Roman;serif" w:hAnsi="Times New Roman;serif"/>
          <w:b w:val="false"/>
          <w:color w:val="000000"/>
          <w:sz w:val="20"/>
        </w:rPr>
        <w:t xml:space="preserve">(i) Act as lead advisor and underwriter on capital raises and the monetization of our ownership stakes in the public equity markets, including initial public offerings, follow-on offerings, equity-linked products and subsequent realizations and (ii) provide dual-track and structured equity solutions advisory, among other services.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 our capital markets activities, we generate underwriting, placement, arrangement, structuring and advisory fee revenue. During the three and six months ended June 30, 2026, our capital markets business drove $113.1 million and $196.3 million in transaction revenue, respectively. During the three and six months ended June 30, 2025, our capital markets business drove $47.1 million and $108.6 million in transaction revenue, respectively. We believe that the high margin profile of our business coupled with our consistent ability to deliver superior financing outcomes drives significant value to our portfolio companies and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Trends Affecting our Business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second quarter of 2026 was characterized by a pivot from the defensive orientation of the prior quarter toward a broad-based risk-on environment. Market momentum was driven by a recovery in the technology sector following AI-related volatility in the first quarter and the de-escalation of the Middle East conflict as strong corporate earnings demonstrated durable growth. Despite the Federal Reserve adopting a more hawkish stance, market participants signaled confidence in global economic resilience while remaining mindful of persistent risks.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Global equities staged a powerful advance with major indices recovering the losses sustained in the first three months of the year. Domestic markets reached record highs fueled by strong momentum in growth oriented and small cap segments. The Nasdaq Composite and Russell 2000 gained 21.4% and 21.2%, respectively, for the quarter, while the S&amp;P 500 and Dow Jones Industrial Average rose 14.9% and 12.9%, respectively.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Sector performance diverged sharply as investors rotated aggressively back into technology and technology-adjacent themes. The Technology sector was the primary driver of the rally with a gain of 31.8% for the quarter. This was highlighted by the S&amp;P 500 Semiconductor &amp; Equipment industry group, which rose 46.9% during the period. Conversely, Energy was the worst performing sector with a decline of 13.4% as oil prices fell from Iran war-induced peaks in the first quarter. Other notable sector moves included Industrials, which rose 14.9%, and Consumer Discretionary, which rose 9.3%. Utilities and consumer staples lagged with returns of (0.5%) and 0.3%, respectively. International markets also demonstrated robust momentum as the MSCI Asia Pacific Index rose 21.0% and the MSCI World Index increased by 13.3%. The MSCI Europe Index advanced 10.5%.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Macroeconomic indicators reflected an environment of persistent but stabilizing inflationary pressures. The Consumer Price Index showed prices rose approximately 4.2% year-over-year in the quarter, remaining persistently above the Federal Reserve’s 2% target. Prices were impacted by the flow-through of increased energy and gas prices brought on by tensions in the Middle East; however, core inflation, which excludes food and energy prices, cooled year-over-year. The labor market remained tight but balanced, with the unemployment rate at 4.2% to 4.3% [through June] and monthly job gains consistent with recent trends. Consequently, the Federal Reserve maintained the target range for the federal funds rate at 3.50% to 3.75%. The Board of Governors of the Federal Reserve System (the “Fed”) maintained a hawkish pause as it signaled rate cuts remain unlikely for the remainder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United States Treasury yields rose across the curve in the second quarter, with shorter-term maturities seeing the most significant increases. The 2-Month yield rose 40 basis points, and the 1-Year yield increased 32 basis points quarter over quarter. Intermediate and long-term rates saw more tempered adjustments with the 10-Year yield rising 15 basis points and the 30-Year yield increasing by 4 basis points.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corporate credit markets, both U.S. and European high yield generated positive performance in the second quarter of 2026. According to J.P. Morgan data, U.S. high yield returned 2.5% and the European market returned 3.9% during the three-month period. In the United States, high yield bond spreads tightened by 49 basis points during the quarter to 306 basis points compared to 355 at the start of the quarter. In Europe, high yield spreads tightened by 62 basis points during the quarter to 350 basis points, down from 412 at the beginning of the quarter. The high yield default rate, measured on a trailing twelve-month basis, increased from 2.1% to 2.7% in the United States and significantly decreased from 3.1% to 1.9% in Europe. Additionally, the J.P. Morgan U.S. Leveraged Loan Index returned 2.02%, and the J.P. Morgan European Leveraged Loan Index posted returned (0.95%) for the second quarter of 2026. The U.S. Leveraged Loan Index ended the quarter at a yield of 8.99% and 499 basis point spread, while the European Leverage Loan Index ended the quarter at a yield of 7.99% and 529 basis point spread.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holding company and our only business is to act as the owner of the entities serving as the general partner of the TPG Operating Group partnerships and our only material assets are Common Units representing approximately 43% of the outstanding Common Units and 100% of the interests in certain intermediate holding companies as of June 30, 2026. In our capacity as the sole indirect owner of the entities serving as the general partner of the TPG Operating Group partnerships, we indirectly control all of the TPG Operating Group’s business and affairs.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Operating Segments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in a single operating and reportable segment, as our CEO, who is our CODM, manages the business on a consolidated basis. We operate collaboratively across product lines through shared investment themes and shared support functions that span across product 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consolidate the financial results of TPG Inc., TPG Operating Group and its consolidated subsidiaries, management companies, the general partners of funds and entities that meet the definition of a variable interest entity for which we are considered the primary beneficiary.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Condensed Consolidated Statements of Financial Condition and net income (loss) attributable to non-controlling interests on the Condensed Consolidated Statements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required under U.S. GAAP to consolidate the majority of investment funds we advise in our Condensed Consolidated Financial Statements because we do not have a more than insignificant variable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key financial and operating measures are discussed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Fees and Other</w:t>
      </w:r>
      <w:r>
        <w:rPr>
          <w:rFonts w:ascii="Times New Roman;serif" w:hAnsi="Times New Roman;serif"/>
          <w:b w:val="false"/>
          <w:color w:val="000000"/>
          <w:sz w:val="20"/>
        </w:rPr>
        <w:t>. Fees and other consists primarily of (i) management fees, (ii) monitoring fees, (iii) transaction fees, (iv) incentive fee income and (v) 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Management fees include catch-up fees resulting from additional capital commitments from limited partners in subsequent closings. Monitoring fees may provide for a termination payment following an initial public offering or change of control. These termination payments are recognized in the period in which the related transaction closes.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Capital Allocation-Based Income (Loss)</w:t>
      </w:r>
      <w:r>
        <w:rPr>
          <w:rFonts w:ascii="Times New Roman;serif" w:hAnsi="Times New Roman;serif"/>
          <w:b w:val="false"/>
          <w:color w:val="000000"/>
          <w:sz w:val="20"/>
        </w:rPr>
        <w:t xml:space="preserve">. Capital allocation-based income (loss) is earned from our funds when we have (i) a general partner’s 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The Company accounts for its general partner interests in capital allocation-based arrangements as financial instruments under ASC Topic 323, </w:t>
      </w:r>
      <w:r>
        <w:rPr>
          <w:rFonts w:ascii="Times New Roman;serif" w:hAnsi="Times New Roman;serif"/>
          <w:b w:val="false"/>
          <w:i/>
          <w:color w:val="000000"/>
          <w:sz w:val="20"/>
        </w:rPr>
        <w:t>Investments – Equity Method and Joint Ventures</w:t>
      </w:r>
      <w:r>
        <w:rPr>
          <w:color w:val="000000"/>
        </w:rPr>
        <w:t xml:space="preserve"> </w:t>
      </w:r>
      <w:r>
        <w:rPr>
          <w:rFonts w:ascii="Times New Roman;serif" w:hAnsi="Times New Roman;serif"/>
          <w:b w:val="false"/>
          <w:color w:val="000000"/>
          <w:sz w:val="20"/>
        </w:rPr>
        <w:t>as the general partner has significant governance rights in the TPG funds in which it invests which demonstrates significant influence. Accordingly, performance allocations are not deemed to be within the scope of ASC 606.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Compensation and Benefits</w:t>
      </w:r>
      <w:r>
        <w:rPr>
          <w:rFonts w:ascii="Times New Roman;serif" w:hAnsi="Times New Roman;serif"/>
          <w:b w:val="false"/>
          <w:color w:val="000000"/>
          <w:sz w:val="20"/>
        </w:rPr>
        <w:t>. Compensation and benefits expense includes (i) cash-based compensation and benefits, (ii) equity-based compensation 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acquisitions, we granted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General, Administrative and Other</w:t>
      </w:r>
      <w:r>
        <w:rPr>
          <w:rFonts w:ascii="Times New Roman;serif" w:hAnsi="Times New Roman;serif"/>
          <w:b w:val="false"/>
          <w:color w:val="000000"/>
          <w:sz w:val="20"/>
        </w:rPr>
        <w:t>. General and administrative expenses include costs primarily related to professional services, occupancy, travel, communication and information services and other general operating items.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 Depreciation and amortization of tenant improvements, furniture and equipment and intangible assets are expensed on a straight-line basis over the useful life of the asset.</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includes interest paid and accrued on our outstanding debt and the amortization of deferred financing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Investment Income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Net Gains (Losses) from Investment Activities</w:t>
      </w:r>
      <w:r>
        <w:rPr>
          <w:rFonts w:ascii="Times New Roman;serif" w:hAnsi="Times New Roman;serif"/>
          <w:b w:val="false"/>
          <w:color w:val="000000"/>
          <w:sz w:val="20"/>
        </w:rPr>
        <w:t>. Realized gains (losses) may be recognized when we redeem all or a portion of an investment interest 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Interest, Dividends and Other</w:t>
      </w:r>
      <w:r>
        <w:rPr>
          <w:rFonts w:ascii="Times New Roman;serif" w:hAnsi="Times New Roman;serif"/>
          <w:b w:val="false"/>
          <w:color w:val="000000"/>
          <w:sz w:val="20"/>
        </w:rPr>
        <w:t>. Interest income is recognized on an accrual basis to the extent that such amounts are expected to be collected using the effective interest method. Dividends and other investment income are recorded when the right to receive payment is established.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Non-Controlling Interests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condensed consolidated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505"/>
        <w:gridCol w:w="1280"/>
        <w:gridCol w:w="129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5"/>
      </w:tblGrid>
      <w:tr>
        <w:trPr/>
        <w:tc>
          <w:tcPr>
            <w:tcW w:w="150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allocation-based income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Cash-based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and benefits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losses from investment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Interest, dividends and other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TPG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Class A common stock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164,670,334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133,404,634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162,166,694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125,450,638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385,468,150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370,142,783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384,594,589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369,753,038</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consisted of the following for the three months ended June 30, 2026 and 2025:</w:t>
      </w:r>
    </w:p>
    <w:tbl>
      <w:tblPr>
        <w:tblW w:w="8666" w:type="dxa"/>
        <w:jc w:val="left"/>
        <w:tblInd w:w="0" w:type="dxa"/>
        <w:tblLayout w:type="fixed"/>
        <w:tblCellMar>
          <w:top w:w="28" w:type="dxa"/>
          <w:left w:w="28" w:type="dxa"/>
          <w:bottom w:w="28" w:type="dxa"/>
          <w:right w:w="28" w:type="dxa"/>
        </w:tblCellMar>
      </w:tblPr>
      <w:tblGrid>
        <w:gridCol w:w="1202"/>
        <w:gridCol w:w="1053"/>
        <w:gridCol w:w="1060"/>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316"/>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monitoring and other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 and other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allocation-based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Fees and other revenues increased $135.9 million, or 24%, during the three months ended June 30, 2026 compared to the three months ended June 30, 2025. This change resulted primarily from a $70.2 million increase in management fees and a $66.0 million increase in transaction, monitoring and other fees.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Management Fees</w:t>
      </w:r>
      <w:r>
        <w:rPr>
          <w:rFonts w:ascii="Times New Roman;serif" w:hAnsi="Times New Roman;serif"/>
          <w:b w:val="false"/>
          <w:color w:val="000000"/>
          <w:sz w:val="20"/>
        </w:rPr>
        <w:t>. The $70.2 million increase in management fees during the three months ended June 30, 2026 compared to the three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$37.2 million from our Capital platform primarily driven by management fees from TPG X, which was activated in the third quarter of 2025, partially offset by a step-down in the fee basis of TPG IX from committed to invested capital in the fourth quarter of 2025;</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$32.3 million from our Growth platform primarily due to catch-up fees earned from Growth VI during the three months ended June 30, 2025, partially offset by management fees earned from TECA resulting from new capital raised during the three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$19.6 million from our Impact platform primarily due to catch-up fees earned from Rise Climate II and Rise Climate TI during the three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$17.9 million from our Credit platform primarily driven by a higher fee basis across Credit Solutions III, MMDL V and ABC Fund II as a result of new investments. These increases were partially offset by a decline in fee-earning AUM within MMDL III;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$0.3 million from our Real Estate platform;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$27.5 million from our Market Solutions platform primarily driven by the addition of management fees from TPG Peppertree, which was acquired in July 2025, and the activation of TGS II in the third quarter of 2025. The increase was further driven by the launch of T-POP in June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Catch-up management fees totaled $33.1 million during the three months ended June 30, 2026 and primarily consisted of $13.2 million for Rise Climate II, $9.3 million for TPG X and $4.2 million for Rise Climate TI.</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Transaction, Monitoring and Other Fees</w:t>
      </w:r>
      <w:r>
        <w:rPr>
          <w:rFonts w:ascii="Times New Roman;serif" w:hAnsi="Times New Roman;serif"/>
          <w:b w:val="false"/>
          <w:color w:val="000000"/>
          <w:sz w:val="20"/>
        </w:rPr>
        <w:t>. Transaction, monitoring and other fees increased $66.0 million, or 140%, for the three months ended June 30, 2026 compared to the three months ended June 30, 2025, primarily driven by capital markets activity among our portfolio companies involving our broker-dealer within our Market Solutions platform.</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Expense Reimbursements and Other</w:t>
      </w:r>
      <w:r>
        <w:rPr>
          <w:rFonts w:ascii="Times New Roman;serif" w:hAnsi="Times New Roman;serif"/>
          <w:b w:val="false"/>
          <w:color w:val="000000"/>
          <w:sz w:val="20"/>
        </w:rPr>
        <w:t xml:space="preserve">. Expense reimbursements and other decreased $0.3 million, or 0%, for the three months ended June 30, 2026 compared to the three months ended June 30, 2025, primarily driven by a reduction in reimbursements from TPG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Performance Allocations.</w:t>
      </w:r>
      <w:r>
        <w:rPr>
          <w:color w:val="000000"/>
        </w:rPr>
        <w:t xml:space="preserve"> </w:t>
      </w:r>
      <w:r>
        <w:rPr>
          <w:rFonts w:ascii="Times New Roman;serif" w:hAnsi="Times New Roman;serif"/>
          <w:b w:val="false"/>
          <w:color w:val="000000"/>
          <w:sz w:val="20"/>
        </w:rPr>
        <w:t>Performance allocations increased $777.3 million for the three months ended June 30, 2026 compared to the three months ended June 30, 2025. Realized performance allocation gains for the three months ended June 30, 2026 and 2025 totaled $189.9 million and $438.6 million, respectively. Unrealized performance allocation gains for the three months ended June 30, 2026 totaled $923.2 million. Unrealized performance allocation losses for three months ended June 30, 2025 totaled $102.8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highlights performance allocations for the three months ended June 30, 2026 and 2025,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tbl>
      <w:tblPr>
        <w:tblW w:w="9852" w:type="dxa"/>
        <w:jc w:val="center"/>
        <w:tblInd w:w="0" w:type="dxa"/>
        <w:tblLayout w:type="fixed"/>
        <w:tblCellMar>
          <w:top w:w="28" w:type="dxa"/>
          <w:left w:w="28" w:type="dxa"/>
          <w:bottom w:w="28" w:type="dxa"/>
          <w:right w:w="28" w:type="dxa"/>
        </w:tblCellMar>
      </w:tblPr>
      <w:tblGrid>
        <w:gridCol w:w="1287"/>
        <w:gridCol w:w="1131"/>
        <w:gridCol w:w="113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69"/>
        <w:gridCol w:w="271"/>
        <w:gridCol w:w="271"/>
        <w:gridCol w:w="109"/>
        <w:gridCol w:w="109"/>
        <w:gridCol w:w="109"/>
        <w:gridCol w:w="109"/>
        <w:gridCol w:w="109"/>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Operating Group Shared:</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Growth</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TPG Operating Group Shared: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Operating Group Excluded:</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TPG Operating Group Excluded</w:t>
            </w:r>
            <w:r>
              <w:rPr>
                <w:rFonts w:ascii="Times New Roman;serif" w:hAnsi="Times New Roman;serif"/>
                <w:b/>
                <w:color w:val="000000"/>
                <w:sz w:val="13"/>
              </w:rPr>
              <w:t>(2)</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Performance Allocations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(2)The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$777.3 million increase in performance allocation during the three months ended June 30, 2026 compared to the three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$468.2 million from our Capital platform for the three months ended June 30, 2026 was primarily driven by income of $165.4 million from TPG IX, $116.6 million from TPG VIII, $77.7 million from TPG X, $43.2 million from THP I and $31.5 million from Asia VIII. Performance allocation income for the three months ended June 30, 2025 was largely driven by income of $80.0 million from TPG IX, $46.3 million from Asia VII and $45.5 million from TPG VIII, partially offset by losses of $16.9 million from THP 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$168.2 million from our Growth platform for the three months ended June 30, 2026 was primarily driven by income of $92.4 million from TTAD II, $43.1 million from TTAD III and $26.1 million from Growth VI, partially offset by losses of $35.1 million from TTAD I. Performance allocation losses for the three months ended June 30, 2025 were primarily driven by losses of $36.2 million from Growth III, partially offset by income of $20.8 million from TTAD II, $8.4 million from Growth IV and $2.8 million from TTAD 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$198.5 million from our Impact platform for the three months ended June 30, 2026 was primarily driven by income of $88.6 million from Rise Climate I, $54.6 million from Rise III and $43.7 million from Rise I. Performance allocation income for the three months ended June 30, 2025 was primarily driven by income of $39.3 million from Rise III and $26.1 million from Rise Climate I, partially offset by losses of $10.9 million from Rise 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$149.8 million from our Credit platform for the three months ended June 30, 2026 was primarily driven by income of $34.6 million from Credit Solutions III, $14.9 million from MVP, $13.7 million from Credit Solutions II and $11.4 million from MMDL V. Performance allocation income for the three months ended June 30, 2025 was primarily driven by income of $11.5 million from MVP Fund, $8.4 million from MMDL V, $5.9 million from MMDL IV, $4.8 million from Credit Solutions II and $4.5 million from Essential Housing III;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$106.0 million from our Real Estate platform for the three months ended June 30, 2026 was primarily driven by income of $51.0 million from TREP IV, $20.4 million from Net Lease IV and $16.8 million from Realty XI. Performance allocation losses for the three months ended June 30, 2025 was largely driven by losses of $22.3 million primarily from TREP III, $16.8 million from Asia Realty IV and $7.2 million from Realty VIII, which were partially offset by net gains of $7.0 million from Net Lease Realty III;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$22.6 million from our Market Solutions platform for the three months ended June 30, 2026 was primarily driven by income of $19.4 million from the T-POP strategy and $5.0 million from Peppertree Fund VIII, partially offset by losses of $8.9 million from NewQuest IV. Performance allocation income for the three months ended June 30, 2025 was primarily driven by net gains of $53.3 million from NewQuest IV and $10.5 million from TPEP.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Operating Group Excluded entities generated losses of $0.1 million during the three months ended June 30, 2026 compared to income of $9.7 million during the three months ended June 30, 2025. Performance allocation income for three months ended June 30, 2025 was primarily driven by gains of $3.8 million from Asia V from our Capital platform and $2.1 million from Growth II from our Growth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accrued performance allocations presented as investments in the Condensed Consolidated Statements of Financial Condition for Common Unit holders TPG Operating Group shared TPG general partner entities totaled $7.6 billion. As of June 30, 2026, accrued performance allocations presented as investments in the Condensed Consolidated Statements of Financial Condition for Common Unit holders TPG Operating Group excluded TPG general partner entities totaled $0.2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Capital Interests. </w:t>
      </w:r>
      <w:r>
        <w:rPr>
          <w:rFonts w:ascii="Times New Roman;serif" w:hAnsi="Times New Roman;serif"/>
          <w:b w:val="false"/>
          <w:color w:val="000000"/>
          <w:sz w:val="20"/>
        </w:rPr>
        <w:t>Capital interests income increased $7.7 million for the three months ended June 30, 2026 compared to the three months ended June 30, 2025. This change was primarily attributable to gains from our investments in TPG X and TPG IX, which were partially offset by losses on our investments in TPG VII during the three months ended June 30, 2026. During the three months ended June 30, 2025, we recognized losses on our investments in Growth III, NewQuest III, Asia VI and Rise I, which were partially offset by gains from our investments in TPG IX, Asia VII and Rise III.</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Cash-Based Compensation and Benefits. </w:t>
      </w:r>
      <w:r>
        <w:rPr>
          <w:rFonts w:ascii="Times New Roman;serif" w:hAnsi="Times New Roman;serif"/>
          <w:b w:val="false"/>
          <w:color w:val="000000"/>
          <w:sz w:val="20"/>
        </w:rPr>
        <w:t>Cash-based compensation and benefits expense increased $28.4 million, or 14%, for the three months ended June 30, 2026 compared to the three months ended June 30, 2025, primarily driven by higher salary and benefit costs resulting from an increase in headcount to support our growth.</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Equity-Based Compensation.</w:t>
      </w:r>
      <w:r>
        <w:rPr>
          <w:color w:val="000000"/>
        </w:rPr>
        <w:t xml:space="preserve"> </w:t>
      </w:r>
      <w:r>
        <w:rPr>
          <w:rFonts w:ascii="Times New Roman;serif" w:hAnsi="Times New Roman;serif"/>
          <w:b w:val="false"/>
          <w:color w:val="000000"/>
          <w:sz w:val="20"/>
        </w:rPr>
        <w:t>Equity-based compensation expense increased $22.1 million, or 11%, for the three months ended June 30, 2026 compared to the three months ended June 30, 2025. This change was primarily attributable to an increase in compensatory Common Units granted on July 1, 2025 to certain TPG Peppertree partners, as described in Note 14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Performance Allocation Compensation. </w:t>
      </w:r>
      <w:r>
        <w:rPr>
          <w:rFonts w:ascii="Times New Roman;serif" w:hAnsi="Times New Roman;serif"/>
          <w:b w:val="false"/>
          <w:color w:val="000000"/>
          <w:sz w:val="20"/>
        </w:rPr>
        <w:t>Performance allocation compensation increased $543.2 million, or 233%, for the three months ended June 30, 2026 compared to the three months ended June 30, 2025. This change was primarily attributable to the increase in performance allocations that drives compensation attributable to our partners and professionals.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General, Administrative and Other. </w:t>
      </w:r>
      <w:r>
        <w:rPr>
          <w:rFonts w:ascii="Times New Roman;serif" w:hAnsi="Times New Roman;serif"/>
          <w:b w:val="false"/>
          <w:color w:val="000000"/>
          <w:sz w:val="20"/>
        </w:rPr>
        <w:t>General and administrative expenses decreased $8.0 million, or 4%, for the three months ended June 30, 2026 compared to the three months ended June 30, 2025, primarily attributable to lower professional 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Depreciation and Amortization</w:t>
      </w:r>
      <w:r>
        <w:rPr>
          <w:rFonts w:ascii="Times New Roman;serif" w:hAnsi="Times New Roman;serif"/>
          <w:b w:val="false"/>
          <w:color w:val="000000"/>
          <w:sz w:val="20"/>
        </w:rPr>
        <w:t>. Depreciation and amortization increased $10.5 million, or 34%,</w:t>
      </w:r>
      <w:r>
        <w:rPr>
          <w:color w:val="000000"/>
        </w:rPr>
        <w:t xml:space="preserve"> </w:t>
      </w:r>
      <w:r>
        <w:rPr>
          <w:rFonts w:ascii="Times New Roman;serif" w:hAnsi="Times New Roman;serif"/>
          <w:b w:val="false"/>
          <w:color w:val="000000"/>
          <w:sz w:val="20"/>
        </w:rPr>
        <w:t>for the three months ended June 30, 2026 compared to the three months ended June 30, 2025, primarily due to the amortization of intangible assets resulting from the Peppertree Acquisition in July 2025.</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Interest expense increased $10.9 million, or 43%, for the three months ended June 30, 2026 compared to the three months ended June 30, 2025, primarily due to an increase in outstanding principal balances on our debt obligations.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Net Losses from Investment Activities. </w:t>
      </w:r>
      <w:r>
        <w:rPr>
          <w:rFonts w:ascii="Times New Roman;serif" w:hAnsi="Times New Roman;serif"/>
          <w:b w:val="false"/>
          <w:color w:val="000000"/>
          <w:sz w:val="20"/>
        </w:rPr>
        <w:t>Net losses from investment activities were $9.1 million and $0.8 million for the three months ended June 30, 2026 and 2025, respectively. This change was primarily attributable to a decrease in the fair value of common stock held in Jackson during the three months ended June 30, 2026.</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Interest, Dividends and Other. </w:t>
      </w:r>
      <w:r>
        <w:rPr>
          <w:rFonts w:ascii="Times New Roman;serif" w:hAnsi="Times New Roman;serif"/>
          <w:b w:val="false"/>
          <w:color w:val="000000"/>
          <w:sz w:val="20"/>
        </w:rPr>
        <w:t>Interest, dividends and other increased $11.3 million, or 116%, for the three months ended June 30, 2026 compared to the three months ended June 30, 2025, primarily driven by a change in the fair value of contingent liabilities related to acquisitions.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Income Tax Expense</w:t>
      </w:r>
      <w:r>
        <w:rPr>
          <w:rFonts w:ascii="Times New Roman;serif" w:hAnsi="Times New Roman;serif"/>
          <w:b w:val="false"/>
          <w:color w:val="000000"/>
          <w:sz w:val="20"/>
        </w:rPr>
        <w:t>. Income tax expense increased $27.1 million for the three months ended June 30, 2026 compared to the three months ended June 30, 2025, primarily due to an increase in net income attributable to TPG Inc. for the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consisted of the following for the six months ended June 30, 2026 and 2025:</w:t>
      </w:r>
    </w:p>
    <w:tbl>
      <w:tblPr>
        <w:tblW w:w="8785" w:type="dxa"/>
        <w:jc w:val="left"/>
        <w:tblInd w:w="0" w:type="dxa"/>
        <w:tblLayout w:type="fixed"/>
        <w:tblCellMar>
          <w:top w:w="28" w:type="dxa"/>
          <w:left w:w="28" w:type="dxa"/>
          <w:bottom w:w="28" w:type="dxa"/>
          <w:right w:w="28" w:type="dxa"/>
        </w:tblCellMar>
      </w:tblPr>
      <w:tblGrid>
        <w:gridCol w:w="1202"/>
        <w:gridCol w:w="1053"/>
        <w:gridCol w:w="1060"/>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6"/>
        <w:gridCol w:w="219"/>
        <w:gridCol w:w="316"/>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monitoring and other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fees and other</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allocation-based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Fees and other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Fees and other revenues increased $212.5 million, or 19%, during the six months ended June 30, 2026 compared to the six months ended June 30, 2025. This change resulted from a $130.7 million increase in management fees and a $87.7 million increase in transaction, monitoring and other fees, partially offset by a $5.8 million decrease in expense reimbursements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Management Fees</w:t>
      </w:r>
      <w:r>
        <w:rPr>
          <w:rFonts w:ascii="Times New Roman;serif" w:hAnsi="Times New Roman;serif"/>
          <w:b w:val="false"/>
          <w:color w:val="000000"/>
          <w:sz w:val="20"/>
        </w:rPr>
        <w:t>. The $130.7 million increase in management fees during the six months ended June 30, 2026 compared to the six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$61.1 million from our Capital platform primarily due to fees earned from TPG X, which was activated during the third quarter of 2025, partially offset by a step-down in fee basis of TPG IX from committed to invested capital in the fourth quarter of 2025 and a reduction in the fee basis of TPG VII resulting from the realization of portfolio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$29.1 million from our Growth platform primarily due to catch-up fees earned from Growth VI during the six months ended June 30, 2025, partially offset by management fees earned from TECA resulting from new capital raised during the six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$28.7 million from our Impact platform primarily due to fees earned from Rise IV following its activation in the first quarter of 2026 and catch-up fees earned from Rise Climate II and Rise Climate TI during the six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$32.5 million from our Credit platform primarily driven by a higher fee basis across Credit Solutions III, ABC Fund II, ABC Evergreen and MMDL V as a result of new investments. These were partially offset by a reduction in fee basis from MMDL III resulting from the realization of portfolio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$11.4 million from our Real Estate platform primarily due to catch-up fees earned from Europe Realty IV during the six months ended June 30, 2025;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$49.5 million</w:t>
      </w:r>
      <w:r>
        <w:rPr>
          <w:color w:val="000000"/>
        </w:rPr>
        <w:t xml:space="preserve"> </w:t>
      </w:r>
      <w:r>
        <w:rPr>
          <w:rFonts w:ascii="Times New Roman;serif" w:hAnsi="Times New Roman;serif"/>
          <w:b w:val="false"/>
          <w:color w:val="000000"/>
          <w:sz w:val="20"/>
        </w:rPr>
        <w:t>from our Market Solutions platform primarily due to additional management fees from TPG Peppertree due to the acquisition in July 2025 and TGS II following its activation in the third quarter of 2025. The increase was further driven by the launch of T-POP in June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Catch-up fees totaled $32.5 million during the six months ended June 30, 2026 and primarily consisted of $14.8 million for Rise Climate II, $9.6 million for TPG X and $3.7 million for Rise Climate TI.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Transaction, Monitoring and Other Fees</w:t>
      </w:r>
      <w:r>
        <w:rPr>
          <w:rFonts w:ascii="Times New Roman;serif" w:hAnsi="Times New Roman;serif"/>
          <w:b w:val="false"/>
          <w:color w:val="000000"/>
          <w:sz w:val="20"/>
        </w:rPr>
        <w:t>. Transaction, monitoring and other fees increased $87.7 million for the six months ended June 30, 2026 compared to the six months ended June 30, 2025. This change was primarily driven by capital markets activity among our portfolio companies involving our broker-dealer within our Market Solutions platform.</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Expense Reimbursements and Other</w:t>
      </w:r>
      <w:r>
        <w:rPr>
          <w:rFonts w:ascii="Times New Roman;serif" w:hAnsi="Times New Roman;serif"/>
          <w:b w:val="false"/>
          <w:color w:val="000000"/>
          <w:sz w:val="20"/>
        </w:rPr>
        <w:t xml:space="preserve">. Expense reimbursements and other decreased by $5.8 million, or 4%, for the six months ended June 30, 2026 compared to the six months ended June 30, 2025 primarily due to a reduction in reimbursements from TPG funds. </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Capital allocation-based income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Capital allocation-based income increased $173.6 million, or 21%, during the six months ended June 30, 2026 compared to the six months ended June 30, 2025. This change resulted from a $188.4 million increase in performance allocations, which was partially offset by a $14.8 million decrease in capital interests income.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Performance Allocations.</w:t>
      </w:r>
      <w:r>
        <w:rPr>
          <w:color w:val="000000"/>
        </w:rPr>
        <w:t xml:space="preserve"> </w:t>
      </w:r>
      <w:r>
        <w:rPr>
          <w:rFonts w:ascii="Times New Roman;serif" w:hAnsi="Times New Roman;serif"/>
          <w:b w:val="false"/>
          <w:color w:val="000000"/>
          <w:sz w:val="20"/>
        </w:rPr>
        <w:t>Performance allocations increased $188.4 million, or 24%, for the six months ended June 30, 2026 compared to the six months ended June 30, 2025. Realized performance allocation gains for the six months ended June 30, 2026 and 2025 totaled $513.3 million and $651.9 million, respectively. Unrealized performance allocation gains for the six months ended June 30, 2026 and 2025 totaled $461.4 million and $134.4 million,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highlights performance allocations for the six months ended June 30, 2026 and 2025,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5"/>
        <w:gridCol w:w="1129"/>
        <w:gridCol w:w="1135"/>
        <w:gridCol w:w="109"/>
        <w:gridCol w:w="109"/>
        <w:gridCol w:w="134"/>
        <w:gridCol w:w="134"/>
        <w:gridCol w:w="134"/>
        <w:gridCol w:w="134"/>
        <w:gridCol w:w="134"/>
        <w:gridCol w:w="134"/>
        <w:gridCol w:w="261"/>
        <w:gridCol w:w="1025"/>
        <w:gridCol w:w="134"/>
        <w:gridCol w:w="109"/>
        <w:gridCol w:w="109"/>
        <w:gridCol w:w="109"/>
        <w:gridCol w:w="211"/>
        <w:gridCol w:w="826"/>
        <w:gridCol w:w="109"/>
        <w:gridCol w:w="109"/>
        <w:gridCol w:w="109"/>
        <w:gridCol w:w="109"/>
        <w:gridCol w:w="211"/>
        <w:gridCol w:w="900"/>
        <w:gridCol w:w="109"/>
        <w:gridCol w:w="109"/>
        <w:gridCol w:w="109"/>
        <w:gridCol w:w="109"/>
        <w:gridCol w:w="268"/>
        <w:gridCol w:w="270"/>
        <w:gridCol w:w="329"/>
      </w:tblGrid>
      <w:tr>
        <w:trPr/>
        <w:tc>
          <w:tcPr>
            <w:tcW w:w="128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4214" w:type="dxa"/>
            <w:gridSpan w:val="18"/>
            <w:tcBorders/>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4214" w:type="dxa"/>
            <w:gridSpan w:val="18"/>
            <w:tcBorders/>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Operating Group Shared: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Growth</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TPG Operating Group Shared: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975,925 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TPG Operating Group Excluded: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TPG Operating Group Excluded</w:t>
            </w:r>
            <w:r>
              <w:rPr>
                <w:rFonts w:ascii="Times New Roman;serif" w:hAnsi="Times New Roman;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Performance Allocations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974,724 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(2)The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$188.4 million increase in performance allocations during the six months ended June 30, 2026 compared to the six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$199.5 million from our Capital platform for the six months ended June 30, 2026 was primarily driven by income of $86.7 million from TPG IX, $82.3 million from TPG X, $24.3 million from Asia VIII and $22.2 million from THP I, partially offset by losses of $32.5 million from</w:t>
      </w:r>
      <w:r>
        <w:rPr>
          <w:color w:val="000000"/>
        </w:rPr>
        <w:t xml:space="preserve"> </w:t>
      </w:r>
      <w:r>
        <w:rPr>
          <w:rFonts w:ascii="Times New Roman;serif" w:hAnsi="Times New Roman;serif"/>
          <w:b w:val="false"/>
          <w:color w:val="000000"/>
          <w:sz w:val="20"/>
        </w:rPr>
        <w:t>TPG VIII and</w:t>
      </w:r>
      <w:r>
        <w:rPr>
          <w:color w:val="000000"/>
        </w:rPr>
        <w:t xml:space="preserve"> </w:t>
      </w:r>
      <w:r>
        <w:rPr>
          <w:rFonts w:ascii="Times New Roman;serif" w:hAnsi="Times New Roman;serif"/>
          <w:b w:val="false"/>
          <w:color w:val="000000"/>
          <w:sz w:val="20"/>
        </w:rPr>
        <w:t>$20.0 million</w:t>
      </w:r>
      <w:r>
        <w:rPr>
          <w:color w:val="000000"/>
        </w:rPr>
        <w:t xml:space="preserve"> </w:t>
      </w:r>
      <w:r>
        <w:rPr>
          <w:rFonts w:ascii="Times New Roman;serif" w:hAnsi="Times New Roman;serif"/>
          <w:b w:val="false"/>
          <w:color w:val="000000"/>
          <w:sz w:val="20"/>
        </w:rPr>
        <w:t>from TPG VII. Performance allocation income for the six months ended June 30, 2025 was primarily driven by income of $190.7 million from TPG IX, $113.4 million from Asia VII, $62.1 million from Asia VIII and $57.7 million from THP II, partially offset by losses of $32.3 million from THP I and $10.8 million from Asia VI;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$80.5 million from our Growth platform for the six months ended June 30, 2026 was primarily driven by income of $90.2 million from TTAD II, $49.5 million from TTAD III and $24.6 million from TPG Atlas, partially offset by losses of $48.6 million from TTAD I, $43.4 million from Growth V and $37.4 million from Growth IV. Performance allocation income for the six months ended June 30, 2025 was primarily driven by income of $25.6 million from TTAD II, $20.9 million from Growth IV and $19.5 million from Growth V, partially offset by losses of $41.4 million from Growth III;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$164.2 million from our Impact platform for the six months ended June 30, 2026 was primarily driven by income of $100.2 million from Rise Climate I and $73.7 million from Rise III, partially offset by losses of $5.6 million from Rise II. Performance allocation income for the six months ended June 30, 2025 was primarily driven by income of $57.4 million from Rise III, $33.4 million from Rise Climate and $6.3 million from Rise II, partially offset by losses of $27.5 million from Rise 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income of $237.8 million from our Credit platform for the six months ended June 30, 2026 was primarily driven by income of $57.6 million from Credit Solutions III, $31.0 million from Credit Solutions II, $24.1 million from MVP and $22.2 million from MMDL V Fund. Performance allocation income for the six months ended June 30, 2025 was primarily driven by income of $26.3 million from MVP Fund, $15.1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MMDL V, $9.5 million from MMDL IV, $12.7 million from Credit Solutions II and $7.3 million from Essential Housing 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$255.8 million from our Real Estate platform for the six months ended June 30, 2026 was primarily driven by income of $156.8 million from TREP IV, $35.7 million from Asia Realty V, $25.7 million from Realty XI and $19.2 million from TREP III, which were partially offset by losses of $4.6 million from Realty VIII and $2.6 million from Japan Value. Performance allocation income for the six months ended June 30, 2025 was primarily driven by by income of $85.2 million from TREP III, which was partially offset by losses of $35.3 million from Realty X, $27.9 million from Asia Realty IV and $7.4 million from Realty VIII;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income of $38.1 million from our Market Solutions platform during the six months ended June 30, 2026 was primarily driven by income of $24.5 million</w:t>
      </w:r>
      <w:r>
        <w:rPr>
          <w:color w:val="000000"/>
        </w:rPr>
        <w:t xml:space="preserve"> </w:t>
      </w:r>
      <w:r>
        <w:rPr>
          <w:rFonts w:ascii="Times New Roman;serif" w:hAnsi="Times New Roman;serif"/>
          <w:b w:val="false"/>
          <w:color w:val="000000"/>
          <w:sz w:val="20"/>
        </w:rPr>
        <w:t>from the T-POP strategy and $16.2 million from TGS I. Performance allocation income for the six months ended June 30, 2025 was primarily driven by $40.1 million of income from NewQuest IV and $11.9 million from TPEP.</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TPG Operating Group Excluded entities generated losses of $1.2 million during the six months ended June 30, 2026 compared to income of $38.5 million during the six months ended June 30, 2025. Performance allocation losses for the six months ended June 30, 2026 were primarily driven by losses of $1.9 million from Growth II from our Growth platform and $1.7 million from TREP II from our Real Estate platform, partially offset by income of $1.3 million from Asia V from our Capital platform. Performance allocation income for the six months ended June 30, 2025 was primarily driven by income of $11.2 million from Biotech III, $9.3 million from Gator and $9.0 million from Growth II from our Growth platform and $3.2 million from Asia V from our Capital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accrued performance allocations presented as investments in the Condensed Consolidated Statements of Financial Condition for Common Unit holders TPG Operating Group shared TPG general partner entities totaled $7.6 billion. As of June 30, 2026, accrued performance allocations presented as investments in the Condensed Consolidated Statements of Financial Condition for Common Unit holders TPG Operating Group excluded TPG general partner entities totaled $0.2 billion.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Capital Interests. </w:t>
      </w:r>
      <w:r>
        <w:rPr>
          <w:rFonts w:ascii="Times New Roman;serif" w:hAnsi="Times New Roman;serif"/>
          <w:b w:val="false"/>
          <w:color w:val="000000"/>
          <w:sz w:val="20"/>
        </w:rPr>
        <w:t>Capital interests income decreased $14.8 million for the six months ended June 30, 2026 compared to the six months ended June 30, 2025. This change was primarily attributable to losses from our investments in TPG VII and Asia VII, partially offset by gains from our investments in TPG X and TGS I during the six months ended June 30, 2026. During the six months ended June 30, 2025, we recognized gains on our investments in TPG IX, Asia VII, Rise III, Asia VIII and THP II, partially offset by losses from our investment in Growth III, Rise I, NewQuest III and THP I.</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Cash-Based Compensation and Benefits. </w:t>
      </w:r>
      <w:r>
        <w:rPr>
          <w:rFonts w:ascii="Times New Roman;serif" w:hAnsi="Times New Roman;serif"/>
          <w:b w:val="false"/>
          <w:color w:val="000000"/>
          <w:sz w:val="20"/>
        </w:rPr>
        <w:t>Cash-based compensation and benefits expense increased $42.0 million, or 10%, for the six months ended June 30, 2026 compared to the six months ended June 30, 2025 resulting from an increase in headcount to support our growth.</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Equity-Based Compensation.</w:t>
      </w:r>
      <w:r>
        <w:rPr>
          <w:color w:val="000000"/>
        </w:rPr>
        <w:t xml:space="preserve"> </w:t>
      </w:r>
      <w:r>
        <w:rPr>
          <w:rFonts w:ascii="Times New Roman;serif" w:hAnsi="Times New Roman;serif"/>
          <w:b w:val="false"/>
          <w:color w:val="000000"/>
          <w:sz w:val="20"/>
        </w:rPr>
        <w:t>Equity-based compensation expense increased $71.4 million, or 17%, for the six months ended June 30, 2026 compared to the six months ended June 30, 2025. This change was primarily attributable to an increase in compensatory Common Unit grants to certain TPG Peppertree partners, as described in Note 14 to the Condensed Consolidated Financial Statements.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Performance Allocation Compensation. </w:t>
      </w:r>
      <w:r>
        <w:rPr>
          <w:rFonts w:ascii="Times New Roman;serif" w:hAnsi="Times New Roman;serif"/>
          <w:b w:val="false"/>
          <w:color w:val="000000"/>
          <w:sz w:val="20"/>
        </w:rPr>
        <w:t>Performance allocation compensation increased $178.4 million, or 34%, for the six months ended June 30, 2026 compared to the six months ended June 30, 2025. This change was primarily attributable to the increase in performance allocations that drives compensation attributable to our partners and professionals.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General, Administrative and Other. </w:t>
      </w:r>
      <w:r>
        <w:rPr>
          <w:rFonts w:ascii="Times New Roman;serif" w:hAnsi="Times New Roman;serif"/>
          <w:b w:val="false"/>
          <w:color w:val="000000"/>
          <w:sz w:val="20"/>
        </w:rPr>
        <w:t>General and administrative expenses decreased $24.3 million, or 7%, for the six months ended June 30, 2026 compared to the six months ended June 30, 2025, primarily attributable to lower professional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increased $20.9 million, or 34%, for the six months ended June 30, 2026 compared to the six months ended June 30, 2025 primarily due to the amortization of intangible assets resulting from the acquisition of Peppertree in July 2025.</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xml:space="preserve">Interest expense increased $19.6 million, or 40%, for the six months ended June 30, 2026 compared to the six months ended June 30, 2025 primarily attributable to higher average debt outstanding throughout the year. </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Net Losses from Investment Activities. </w:t>
      </w:r>
      <w:r>
        <w:rPr>
          <w:rFonts w:ascii="Times New Roman;serif" w:hAnsi="Times New Roman;serif"/>
          <w:b w:val="false"/>
          <w:color w:val="000000"/>
          <w:sz w:val="20"/>
        </w:rPr>
        <w:t>Net losses from investment activities totaled $10.2 million for the six months ended June 30, 2026 compared to net losses of $2.9 million for the six months ended June 30, 2025. This change was primarily attributable to a decrease in the fair value of common stock held in Jackson during the six months ended June 30, 2026.</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Interest, Dividends and Other. </w:t>
      </w:r>
      <w:r>
        <w:rPr>
          <w:rFonts w:ascii="Times New Roman;serif" w:hAnsi="Times New Roman;serif"/>
          <w:b w:val="false"/>
          <w:color w:val="000000"/>
          <w:sz w:val="20"/>
        </w:rPr>
        <w:t>Interest, dividends and other increased $11.0 million, or 58%, for the six months ended June 30, 2026 compared to the six months ended June 30, 2025, primarily driven by a change in the fair value of contingent liabilities related to acquisitions.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Income Tax Expense. </w:t>
      </w:r>
      <w:r>
        <w:rPr>
          <w:rFonts w:ascii="Times New Roman;serif" w:hAnsi="Times New Roman;serif"/>
          <w:b w:val="false"/>
          <w:color w:val="000000"/>
          <w:sz w:val="20"/>
        </w:rPr>
        <w:t>Income tax expense increased by $3.3 million, or 21%, for the six months ended June 30, 2026 compared to the six months ended June 30, 2025 primarily due to an increase in income attributable to TPG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Unaudited Condensed Consolidated Statements of Financial Condition (U.S. GAAP basis)</w:t>
      </w:r>
    </w:p>
    <w:tbl>
      <w:tblPr>
        <w:tblW w:w="10205" w:type="dxa"/>
        <w:jc w:val="center"/>
        <w:tblInd w:w="0" w:type="dxa"/>
        <w:tblLayout w:type="fixed"/>
        <w:tblCellMar>
          <w:top w:w="28" w:type="dxa"/>
          <w:left w:w="28" w:type="dxa"/>
          <w:bottom w:w="28" w:type="dxa"/>
          <w:right w:w="28" w:type="dxa"/>
        </w:tblCellMar>
      </w:tblPr>
      <w:tblGrid>
        <w:gridCol w:w="2667"/>
        <w:gridCol w:w="2144"/>
        <w:gridCol w:w="2163"/>
        <w:gridCol w:w="211"/>
        <w:gridCol w:w="1081"/>
        <w:gridCol w:w="109"/>
        <w:gridCol w:w="109"/>
        <w:gridCol w:w="109"/>
        <w:gridCol w:w="109"/>
        <w:gridCol w:w="219"/>
        <w:gridCol w:w="1122"/>
        <w:gridCol w:w="162"/>
      </w:tblGrid>
      <w:tr>
        <w:trPr/>
        <w:tc>
          <w:tcPr>
            <w:tcW w:w="2667"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830" w:type="dxa"/>
            <w:gridSpan w:val="6"/>
            <w:tcBorders/>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826,105 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9,211,816 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573,590 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1,158,027 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552,254 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860,676 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310,467 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13,492,935 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1,722,547 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694,632 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allocation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5,399,750 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9,356,560 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2,340,000,000 shares authorized (166,502,052 and 153,113,961 shares issued and outstanding as of June 30, 2026 and December 31, 2025,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750,000,000 shares authorized (217,809,708 and 224,331,812 shares issued and outstanding as of June 30, 2026 and December 31, 2025, respectively)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25,000,000 shares authorized (0 issued and outstanding as of June 30, 2026 and December 31, 2025)</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1,476,444 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(291,604)</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 of tax</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2,951,158 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4,136,375 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13,492,935 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Investments increased $414.1 million during the six months ended June 30, 2026 primarily due to purchases of investments of $1,088.3 million and net capital allocation-based income of $1,016.4 million, partially offset by proceeds of $1,001.6 million and deconsolidation activity of $804.8 million.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assets increased $137.2 million during the six months ended June 30, 2026 primarily related to the issuance of Class A common stock to a subsidiary of Jackson as described in Note 15.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Debt obligations increased $621.1 million during the six months ended June 30, 2026 primarily due to the issuance of the 2031 Senior Notes and outstanding borrowings on the Senior Unsecured Revolving 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Accrued performance allocation compensation increased $231.3 million for the six months ended June 30, 2026, primarily attributable to net increases in performance fee compensation expense of $710.5 million and settlements of performance allocation compensation of $477.8 million during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 xml:space="preserve">Distributable Earnings. </w:t>
      </w:r>
      <w:r>
        <w:rPr>
          <w:rFonts w:ascii="Times New Roman;serif" w:hAnsi="Times New Roman;serif"/>
          <w:b w:val="false"/>
          <w:color w:val="000000"/>
          <w:sz w:val="20"/>
        </w:rPr>
        <w:t>Distributable Earnings (“DE”) is used to assess performance and amounts potentially 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 (ii) unrealized investment income, (iii) equity-based compensation expense, (iv) amortization, (v) net income (loss) attributable to non-controlling interests in consolidated entities, or (vi) certain other items, such as contingent reserves.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After-Tax Distributable Earnings</w:t>
      </w:r>
      <w:r>
        <w:rPr>
          <w:rFonts w:ascii="Times New Roman;serif" w:hAnsi="Times New Roman;serif"/>
          <w:b w:val="false"/>
          <w:color w:val="000000"/>
          <w:sz w:val="20"/>
        </w:rPr>
        <w:t xml:space="preserve">. After-tax Distributable Earnings (“After-tax DE”) is a non-GAAP performance measure of our distributable 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Condensed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Fee-Related Earnings</w:t>
      </w:r>
      <w:r>
        <w:rPr>
          <w:rFonts w:ascii="Times New Roman;serif" w:hAnsi="Times New Roman;serif"/>
          <w:b w:val="false"/>
          <w:color w:val="000000"/>
          <w:sz w:val="20"/>
        </w:rPr>
        <w:t>. Fee-Related Earnings (“FRE”) is a supplemental performance measure and is used to 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Fee-Related Revenues</w:t>
      </w:r>
      <w:r>
        <w:rPr>
          <w:rFonts w:ascii="Times New Roman;serif" w:hAnsi="Times New Roman;serif"/>
          <w:b w:val="false"/>
          <w:color w:val="000000"/>
          <w:sz w:val="20"/>
        </w:rPr>
        <w:t>. Fee-related revenues (“FRR”) is a component of FRE. Fee-related revenues is comprised of (i) 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Refer to “—Reconciliation to U.S. GAAP Measures” to the comparable line items on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Fee-Related Expenses</w:t>
      </w:r>
      <w:r>
        <w:rPr>
          <w:rFonts w:ascii="Times New Roman;serif" w:hAnsi="Times New Roman;serif"/>
          <w:b w:val="false"/>
          <w:color w:val="000000"/>
          <w:sz w:val="20"/>
        </w:rPr>
        <w:t>. Fee-related expenses is a component of FRE. Fee-related expenses differs from expenses computed in accordance with U.S. GAAP in that it is net of certain reimbursement arrangements and does not include performance allocation compensation. Fee-related expenses is used in management’s review of the business. Refer to “—Reconciliation to U.S. GAAP Measures” to the comparable line items on the Condensed Consolidated Statements of Operations.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calculations of DE, FRE, fee-related revenues and fee-related expenses may differ from the calculations of other investment managers. As a result, these measures may not be comparable to similar measures presented by other investment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total FRE and DE for the three and six months ended June 30, 2026 and 2025:</w:t>
      </w:r>
    </w:p>
    <w:tbl>
      <w:tblPr>
        <w:tblW w:w="9382" w:type="dxa"/>
        <w:jc w:val="center"/>
        <w:tblInd w:w="0" w:type="dxa"/>
        <w:tblLayout w:type="fixed"/>
        <w:tblCellMar>
          <w:top w:w="28" w:type="dxa"/>
          <w:left w:w="28" w:type="dxa"/>
          <w:bottom w:w="28" w:type="dxa"/>
          <w:right w:w="28" w:type="dxa"/>
        </w:tblCellMar>
      </w:tblPr>
      <w:tblGrid>
        <w:gridCol w:w="1310"/>
        <w:gridCol w:w="1149"/>
        <w:gridCol w:w="11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311"/>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863,623 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Fee-related performance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monitoring and other fees,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971,383 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Cash-based compensation and benefits,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Fee-related performance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195,926 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401,079 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performance allocations,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476,255 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After-Tax Distributable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455,026 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Three Months Ended June 30,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Fee-Related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revenues increased $133.1 million, or 27%, for the three months ended June 30, 2026 compared to the three months ended June 30, 2025. The change was primarily due to additional management fees of $66.4 million and an increase in transaction, monitoring and other fees, net of $64.5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Management Fees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management fees in our platforms for the three months ended June 30, 2026 and 2025: </w:t>
      </w:r>
    </w:p>
    <w:tbl>
      <w:tblPr>
        <w:tblW w:w="5259" w:type="dxa"/>
        <w:jc w:val="center"/>
        <w:tblInd w:w="0" w:type="dxa"/>
        <w:tblLayout w:type="fixed"/>
        <w:tblCellMar>
          <w:top w:w="28" w:type="dxa"/>
          <w:left w:w="28" w:type="dxa"/>
          <w:bottom w:w="28" w:type="dxa"/>
          <w:right w:w="28" w:type="dxa"/>
        </w:tblCellMar>
      </w:tblPr>
      <w:tblGrid>
        <w:gridCol w:w="782"/>
        <w:gridCol w:w="686"/>
        <w:gridCol w:w="691"/>
        <w:gridCol w:w="211"/>
        <w:gridCol w:w="826"/>
        <w:gridCol w:w="109"/>
        <w:gridCol w:w="109"/>
        <w:gridCol w:w="109"/>
        <w:gridCol w:w="109"/>
        <w:gridCol w:w="211"/>
        <w:gridCol w:w="826"/>
        <w:gridCol w:w="109"/>
        <w:gridCol w:w="109"/>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Management Fees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$66.4 million increase in management fees during the three months ended June 30, 2026 compared to the three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$31.6 million from our Capital platform primarily driven by management fees from TPG X, which was activated in the third quarter of 2025, partially offset by a step-down in the fee basis of TPG IX from committed to invested capital in the fourth quarter of 2025;</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$32.3 million from our Growth platform primarily due to catch-up fees earned from Growth VI during the three months ended June 30, 2025, partially offset by management fees earned from TECA resulting from new capital raised during the three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$21.6 million from our Impact platform primarily due to catch-up fees earned from Rise Climate II and Rise Climate TI during the three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$20.9 million from our Credit platform primarily driven by a higher fee basis across Credit Solutions III, MMDL V and ABC Fund II as a result of new investments. These increases were partially offset by a decline in fee-earning AUM within MMDL III;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$1.1 million from our Real Estate platform primarily driven by the decrease in the fee basis of Net Lease Realty III;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$25.6 million from our Market Solutions platform primarily driven by the addition of management fees from TPG Peppertree which was acquired in July 2025 and TGS II following its activation in the third quarter of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Catch-up fees totaled $33.1 million during the three months ended June 30, 2026 and primarily consisted of $13.2 million for Rise Climate II, $9.3 million for TPG X and $4.2 million for Rise Climate 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Performance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fee-related performance revenues for the three months ended June 30, 2026 and 2025: </w:t>
      </w:r>
    </w:p>
    <w:tbl>
      <w:tblPr>
        <w:tblW w:w="6554" w:type="dxa"/>
        <w:jc w:val="left"/>
        <w:tblInd w:w="0" w:type="dxa"/>
        <w:tblLayout w:type="fixed"/>
        <w:tblCellMar>
          <w:top w:w="28" w:type="dxa"/>
          <w:left w:w="28" w:type="dxa"/>
          <w:bottom w:w="28" w:type="dxa"/>
          <w:right w:w="28" w:type="dxa"/>
        </w:tblCellMar>
      </w:tblPr>
      <w:tblGrid>
        <w:gridCol w:w="1309"/>
        <w:gridCol w:w="1156"/>
        <w:gridCol w:w="1165"/>
        <w:gridCol w:w="234"/>
        <w:gridCol w:w="685"/>
        <w:gridCol w:w="121"/>
        <w:gridCol w:w="121"/>
        <w:gridCol w:w="121"/>
        <w:gridCol w:w="121"/>
        <w:gridCol w:w="234"/>
        <w:gridCol w:w="685"/>
        <w:gridCol w:w="121"/>
        <w:gridCol w:w="109"/>
        <w:gridCol w:w="109"/>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Fee-Related Performance Revenues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performance revenues increased $2.2 million, or 32%, for the three months ended June 30, 2026 compared to the three months ended June 30, 2025 due to higher incentive fees from TCAP.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Transaction, Monitoring and Other Fees,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transaction, monitoring and other fees, net in our platforms for the three months ended June 30, 2026 and 2025: </w:t>
      </w:r>
    </w:p>
    <w:tbl>
      <w:tblPr>
        <w:tblW w:w="7419" w:type="dxa"/>
        <w:jc w:val="center"/>
        <w:tblInd w:w="0" w:type="dxa"/>
        <w:tblLayout w:type="fixed"/>
        <w:tblCellMar>
          <w:top w:w="28" w:type="dxa"/>
          <w:left w:w="28" w:type="dxa"/>
          <w:bottom w:w="28" w:type="dxa"/>
          <w:right w:w="28" w:type="dxa"/>
        </w:tblCellMar>
      </w:tblPr>
      <w:tblGrid>
        <w:gridCol w:w="1603"/>
        <w:gridCol w:w="1406"/>
        <w:gridCol w:w="1415"/>
        <w:gridCol w:w="211"/>
        <w:gridCol w:w="826"/>
        <w:gridCol w:w="109"/>
        <w:gridCol w:w="109"/>
        <w:gridCol w:w="109"/>
        <w:gridCol w:w="109"/>
        <w:gridCol w:w="211"/>
        <w:gridCol w:w="721"/>
        <w:gridCol w:w="109"/>
        <w:gridCol w:w="109"/>
        <w:gridCol w:w="109"/>
        <w:gridCol w:w="109"/>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Transaction, Monitoring and Other Fees,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Transaction, monitoring and other fees, net increased $64.5 million, or 170%, for the three months ended June 30, 2026 compared to the three months ended June 30, 2025. This change was primarily driven by our Market Solutions platform as a result of capital markets activity among our portfolio companies involving our broker-dealer.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 xml:space="preserve">Fee-Related Expenses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expenses increased $37.9 million, or 14%, during the three months ended June 30, 2026 compared to the three months ended June 30, 2025. This change was primarily due to an increase in cash-based compensation and benefits, net of $31.7 million and an increase in operating expenses, net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Cash-Based Compensation and Benefits,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cash-based compensation and benefits, net for the three months ended June 30, 2026 and 2025: </w:t>
      </w:r>
    </w:p>
    <w:tbl>
      <w:tblPr>
        <w:tblW w:w="7434" w:type="dxa"/>
        <w:jc w:val="center"/>
        <w:tblInd w:w="0" w:type="dxa"/>
        <w:tblLayout w:type="fixed"/>
        <w:tblCellMar>
          <w:top w:w="28" w:type="dxa"/>
          <w:left w:w="28" w:type="dxa"/>
          <w:bottom w:w="28" w:type="dxa"/>
          <w:right w:w="28" w:type="dxa"/>
        </w:tblCellMar>
      </w:tblPr>
      <w:tblGrid>
        <w:gridCol w:w="1567"/>
        <w:gridCol w:w="1378"/>
        <w:gridCol w:w="1389"/>
        <w:gridCol w:w="211"/>
        <w:gridCol w:w="826"/>
        <w:gridCol w:w="109"/>
        <w:gridCol w:w="109"/>
        <w:gridCol w:w="109"/>
        <w:gridCol w:w="109"/>
        <w:gridCol w:w="211"/>
        <w:gridCol w:w="826"/>
        <w:gridCol w:w="109"/>
        <w:gridCol w:w="109"/>
        <w:gridCol w:w="109"/>
        <w:gridCol w:w="109"/>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Salaries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Cash-Based Compensation and Benefits,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cash-based compensation and benefits, net increased $31.7 million, or 18%, for the three months ended June 30, 2026 compared to the three months ended June 30, 2025, primarily driven by higher salary and benefit costs resulting from an increase in headcount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Performance Compensation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fee-related performance compensation for the three months ended June 30, 2026 and 2025:</w:t>
      </w:r>
    </w:p>
    <w:tbl>
      <w:tblPr>
        <w:tblW w:w="6929" w:type="dxa"/>
        <w:jc w:val="left"/>
        <w:tblInd w:w="0" w:type="dxa"/>
        <w:tblLayout w:type="fixed"/>
        <w:tblCellMar>
          <w:top w:w="28" w:type="dxa"/>
          <w:left w:w="28" w:type="dxa"/>
          <w:bottom w:w="28" w:type="dxa"/>
          <w:right w:w="28" w:type="dxa"/>
        </w:tblCellMar>
      </w:tblPr>
      <w:tblGrid>
        <w:gridCol w:w="1445"/>
        <w:gridCol w:w="1274"/>
        <w:gridCol w:w="1286"/>
        <w:gridCol w:w="234"/>
        <w:gridCol w:w="685"/>
        <w:gridCol w:w="121"/>
        <w:gridCol w:w="121"/>
        <w:gridCol w:w="121"/>
        <w:gridCol w:w="121"/>
        <w:gridCol w:w="234"/>
        <w:gridCol w:w="685"/>
        <w:gridCol w:w="121"/>
        <w:gridCol w:w="109"/>
        <w:gridCol w:w="109"/>
        <w:gridCol w:w="109"/>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Fee-related Performance Compensation</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fee-related performance compensation increased $1.1 million, or 32%, for the three months ended June 30, 2026 compared to the three months ended June 30, 2025. This was primarily attributable to the increase in fee-related performance revenues from TCAP that drive compensation attributable to our partners and professionals.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Operating Expenses,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$5.1 million, or 5%, for the three months ended June 30, 2026 compared to the three months ended June 30, 2025. This change was primarily due to an increase in professional fees and travel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Realized Performance Allocations,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realized performance allocations, net from our platforms for the three months ended June 30, 2026 and 2025: </w:t>
      </w:r>
    </w:p>
    <w:tbl>
      <w:tblPr>
        <w:tblW w:w="6822" w:type="dxa"/>
        <w:jc w:val="center"/>
        <w:tblInd w:w="0" w:type="dxa"/>
        <w:tblLayout w:type="fixed"/>
        <w:tblCellMar>
          <w:top w:w="28" w:type="dxa"/>
          <w:left w:w="28" w:type="dxa"/>
          <w:bottom w:w="28" w:type="dxa"/>
          <w:right w:w="28" w:type="dxa"/>
        </w:tblCellMar>
      </w:tblPr>
      <w:tblGrid>
        <w:gridCol w:w="1410"/>
        <w:gridCol w:w="1235"/>
        <w:gridCol w:w="1254"/>
        <w:gridCol w:w="214"/>
        <w:gridCol w:w="732"/>
        <w:gridCol w:w="110"/>
        <w:gridCol w:w="110"/>
        <w:gridCol w:w="110"/>
        <w:gridCol w:w="110"/>
        <w:gridCol w:w="214"/>
        <w:gridCol w:w="732"/>
        <w:gridCol w:w="110"/>
        <w:gridCol w:w="109"/>
        <w:gridCol w:w="109"/>
        <w:gridCol w:w="109"/>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Realized Performance Allocations,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Realized performance allocations, net of $35.4 million for the three months ended June 30, 2026 were generated primarily from realizations of $4.9 million from TPG VII in the Capital platform, $18.1 million from TDM in the Growth platform, $2.1 million from MMDL V in the Credit platform and $3.4 million from Net Lease Realty III in the Real Estate platform. The activity consisted of realizations sourced from portfolio companies including Life Time Group Holdings and Infinidat.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Realized performance allocations, net of $87.0 million for the three months ended June 30, 2025 were generated from realizations of $31.1 million from TPG VII in the Capital platform, $41.7 million from Growth IV in the Growth platform, $3.9 million from Credit Solutions II and $1.3 million from MMDL V in the Credit platform. The activity consisted of realizations sourced from portfolio companies including Crunch Fitness and Viking Cruises.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Realized Investment Income and Other,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realized investment income and other, net for the three months ended June 30, 2026 and 2025:</w:t>
      </w:r>
    </w:p>
    <w:tbl>
      <w:tblPr>
        <w:tblW w:w="7254" w:type="dxa"/>
        <w:jc w:val="center"/>
        <w:tblInd w:w="0" w:type="dxa"/>
        <w:tblLayout w:type="fixed"/>
        <w:tblCellMar>
          <w:top w:w="28" w:type="dxa"/>
          <w:left w:w="28" w:type="dxa"/>
          <w:bottom w:w="28" w:type="dxa"/>
          <w:right w:w="28" w:type="dxa"/>
        </w:tblCellMar>
      </w:tblPr>
      <w:tblGrid>
        <w:gridCol w:w="1553"/>
        <w:gridCol w:w="1365"/>
        <w:gridCol w:w="1371"/>
        <w:gridCol w:w="211"/>
        <w:gridCol w:w="796"/>
        <w:gridCol w:w="109"/>
        <w:gridCol w:w="109"/>
        <w:gridCol w:w="109"/>
        <w:gridCol w:w="109"/>
        <w:gridCol w:w="211"/>
        <w:gridCol w:w="721"/>
        <w:gridCol w:w="109"/>
        <w:gridCol w:w="109"/>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Realized Investment Income and Other,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 in realized investment income and other, net of $12.1 million during the three months ended June 30, 2026 compared to the three months ended June 30, 2025 is primarily due to a decrease in realizations from certain investments, partially offset by a decrease in our non-core expense. Our non-core activity includes expenses of $13.8 million related to our unoccupied lease space and $4.7 million related to strategic transaction and integration activity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Depreciation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increased $0.8 million for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interest expense, net for the three months ended June 30, 2026 and 2025: </w:t>
      </w:r>
    </w:p>
    <w:tbl>
      <w:tblPr>
        <w:tblW w:w="4813" w:type="dxa"/>
        <w:jc w:val="center"/>
        <w:tblInd w:w="0" w:type="dxa"/>
        <w:tblLayout w:type="fixed"/>
        <w:tblCellMar>
          <w:top w:w="28" w:type="dxa"/>
          <w:left w:w="28" w:type="dxa"/>
          <w:bottom w:w="28" w:type="dxa"/>
          <w:right w:w="28" w:type="dxa"/>
        </w:tblCellMar>
      </w:tblPr>
      <w:tblGrid>
        <w:gridCol w:w="685"/>
        <w:gridCol w:w="600"/>
        <w:gridCol w:w="605"/>
        <w:gridCol w:w="214"/>
        <w:gridCol w:w="732"/>
        <w:gridCol w:w="110"/>
        <w:gridCol w:w="110"/>
        <w:gridCol w:w="110"/>
        <w:gridCol w:w="110"/>
        <w:gridCol w:w="214"/>
        <w:gridCol w:w="732"/>
        <w:gridCol w:w="110"/>
        <w:gridCol w:w="109"/>
        <w:gridCol w:w="109"/>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$12.6 million for the three months ended June 30, 2026 compared to the three months ended June 30, 2025, primarily due to an increase in outstanding principal balances on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Distributable Earnings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DE for the three months ended June 30, 2026 compared to the three months ended June 30, 2025 was primarily due to an increase in FRE, partially offset by a decrease in realized performance allocations, net and an increase in interest expense,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taxes increased $6.0 million, or 59%, for the three months ended June 30, 2026 compared to the three months ended June 30, 2025 primarily due to increases in the current payable under the Tax Receivable Agreement and local statutory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revenues increased $214.0 million, or 22%, for the six months ended June 30, 2026 compared to the six months ended June 30, 2025. The increase was primarily due to additional management fees of $128.3 million and an increase in transaction, monitoring and other fees, net of $81.5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Management Fees</w:t>
      </w:r>
    </w:p>
    <w:p>
      <w:pPr>
        <w:pStyle w:val="TextBody"/>
        <w:bidi w:val="0"/>
        <w:spacing w:lineRule="auto" w:line="288" w:before="240" w:after="283"/>
        <w:ind w:left="0" w:right="0" w:firstLine="540"/>
        <w:jc w:val="both"/>
        <w:rPr/>
      </w:pPr>
      <w:r>
        <w:rPr>
          <w:rFonts w:ascii="Times New Roman;serif" w:hAnsi="Times New Roman;serif"/>
          <w:b w:val="false"/>
          <w:color w:val="000000"/>
          <w:sz w:val="20"/>
        </w:rPr>
        <w:t>The following table presents management fees in our platforms for the six months ended June 30, 2026</w:t>
      </w:r>
      <w:r>
        <w:rPr>
          <w:color w:val="000000"/>
        </w:rPr>
        <w:t xml:space="preserve"> </w:t>
      </w:r>
      <w:r>
        <w:rPr>
          <w:rFonts w:ascii="Times New Roman;serif" w:hAnsi="Times New Roman;serif"/>
          <w:b w:val="false"/>
          <w:color w:val="000000"/>
          <w:sz w:val="20"/>
        </w:rPr>
        <w:t>and 2025:</w:t>
      </w:r>
    </w:p>
    <w:tbl>
      <w:tblPr>
        <w:tblW w:w="6128" w:type="dxa"/>
        <w:jc w:val="center"/>
        <w:tblInd w:w="0" w:type="dxa"/>
        <w:tblLayout w:type="fixed"/>
        <w:tblCellMar>
          <w:top w:w="28" w:type="dxa"/>
          <w:left w:w="28" w:type="dxa"/>
          <w:bottom w:w="28" w:type="dxa"/>
          <w:right w:w="28" w:type="dxa"/>
        </w:tblCellMar>
      </w:tblPr>
      <w:tblGrid>
        <w:gridCol w:w="782"/>
        <w:gridCol w:w="686"/>
        <w:gridCol w:w="691"/>
        <w:gridCol w:w="109"/>
        <w:gridCol w:w="109"/>
        <w:gridCol w:w="178"/>
        <w:gridCol w:w="178"/>
        <w:gridCol w:w="345"/>
        <w:gridCol w:w="1354"/>
        <w:gridCol w:w="178"/>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281,610 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991,972 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$128.3 million increase in management fees during the six months ended June 30, 2026 compared to the six months ended June 30, 2025 is attributable to:</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$56.2 million from our Capital platform primarily due to fees earned from TPG X, which was activated during the third quarter of 2025, partially offset by a step-down in fee basis of TPG IX from committed to invested capital in the fourth quarter of 2025 and a reduction in the fee basis of TPG VII resulting from the realization of portfolio investments;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$29.1 million from our Growth platform primarily due to catch-up fees earned from Growth VI during the six months ended June 30, 2025, partially offset by management fees earned from TECA resulting from new capital raised during the six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$31.0 million from our Impact platform primarily due to catch-up fees earned from Rise Climate II and Rise Climate TI during the six months ended June 30, 2026;</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 of $35.3 million from our Credit platform primarily driven by a higher fee basis across Credit Solutions III, ABC Fund II, ABC Evergreen and MMDL V as a result of new investments. These were partially offset by a decline in fee-earning AUM within MMDL III;</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 decrease of $12.6 million from our Real Estate platform primarily due to catch-up fees earned from Europe Realty IV during the six months ended June 30, 2025 and a decrease in the fee basis of Net Lease Realty III;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an increase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$47.6 million</w:t>
      </w:r>
      <w:r>
        <w:rPr>
          <w:color w:val="000000"/>
        </w:rPr>
        <w:t xml:space="preserve"> </w:t>
      </w:r>
      <w:r>
        <w:rPr>
          <w:rFonts w:ascii="Times New Roman;serif" w:hAnsi="Times New Roman;serif"/>
          <w:b w:val="false"/>
          <w:color w:val="000000"/>
          <w:sz w:val="20"/>
        </w:rPr>
        <w:t>from our Market Solutions platform primarily due to additional management fees from TPG Peppertree due to the acquisition in July 2025 and TGS II following its activation in the third quarter of 2025. The increase was further driven by the launch of T-POP in June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Catch-up fees totaled $32.5 million during the six months ended June 30, 2026 and primarily consisted of $14.8 million for Rise Climate II, $9.6 million for TPG X and $3.7 million for Rise Climate TI.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Performance Revenues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fee-related performance revenues for the six months ended June 30, 2026 and 2025: </w:t>
      </w:r>
    </w:p>
    <w:tbl>
      <w:tblPr>
        <w:tblW w:w="7494" w:type="dxa"/>
        <w:jc w:val="left"/>
        <w:tblInd w:w="0" w:type="dxa"/>
        <w:tblLayout w:type="fixed"/>
        <w:tblCellMar>
          <w:top w:w="28" w:type="dxa"/>
          <w:left w:w="28" w:type="dxa"/>
          <w:bottom w:w="28" w:type="dxa"/>
          <w:right w:w="28" w:type="dxa"/>
        </w:tblCellMar>
      </w:tblPr>
      <w:tblGrid>
        <w:gridCol w:w="1309"/>
        <w:gridCol w:w="1156"/>
        <w:gridCol w:w="1165"/>
        <w:gridCol w:w="109"/>
        <w:gridCol w:w="109"/>
        <w:gridCol w:w="193"/>
        <w:gridCol w:w="193"/>
        <w:gridCol w:w="374"/>
        <w:gridCol w:w="1280"/>
        <w:gridCol w:w="193"/>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413"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Fee-Related Performance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performance revenues increased $4.2 million, or 32%, for the six months ended June 30, 2026 compared to the six months ended June 30, 2025 primarily due to higher incentive fees from TCAP.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Transaction, Monitoring and Other Fees,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transaction, monitoring and other fees, net in our platforms for the six months ended June 30, 2026 and 2025:</w:t>
      </w:r>
    </w:p>
    <w:tbl>
      <w:tblPr>
        <w:tblW w:w="8288" w:type="dxa"/>
        <w:jc w:val="center"/>
        <w:tblInd w:w="0" w:type="dxa"/>
        <w:tblLayout w:type="fixed"/>
        <w:tblCellMar>
          <w:top w:w="28" w:type="dxa"/>
          <w:left w:w="28" w:type="dxa"/>
          <w:bottom w:w="28" w:type="dxa"/>
          <w:right w:w="28" w:type="dxa"/>
        </w:tblCellMar>
      </w:tblPr>
      <w:tblGrid>
        <w:gridCol w:w="1603"/>
        <w:gridCol w:w="1406"/>
        <w:gridCol w:w="1415"/>
        <w:gridCol w:w="109"/>
        <w:gridCol w:w="109"/>
        <w:gridCol w:w="178"/>
        <w:gridCol w:w="178"/>
        <w:gridCol w:w="345"/>
        <w:gridCol w:w="1354"/>
        <w:gridCol w:w="178"/>
        <w:gridCol w:w="109"/>
        <w:gridCol w:w="109"/>
        <w:gridCol w:w="109"/>
        <w:gridCol w:w="211"/>
        <w:gridCol w:w="721"/>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413" w:type="dxa"/>
            <w:gridSpan w:val="6"/>
            <w:tcBorders/>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171,299 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Transaction, Monitoring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176,245 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Transaction, monitoring and other fees, net increased $81.5 million, or 86%, for the six months ended June 30, 2026 compared to the six months ended June 30, 2025. This change was primarily driven by our Market Solutions platform as a result of capital markets activity among our portfolio companies involving our broker-dealer.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Expenses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Fee-related expenses increased $53.5 million, or 9%, for the six months ended June 30, 2026 compared to the six months ended June 30, 2025. The increase was primarily due to an increase in cash-based compensation and benefits, net of $46.5 million and an increase in operating expenses, net of $4.9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Cash-Based Compensation and Benefits,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cash-based compensation and benefits, net for the six months ended June 30, 2026 and 2025:</w:t>
      </w:r>
    </w:p>
    <w:tbl>
      <w:tblPr>
        <w:tblW w:w="8303" w:type="dxa"/>
        <w:jc w:val="center"/>
        <w:tblInd w:w="0" w:type="dxa"/>
        <w:tblLayout w:type="fixed"/>
        <w:tblCellMar>
          <w:top w:w="28" w:type="dxa"/>
          <w:left w:w="28" w:type="dxa"/>
          <w:bottom w:w="28" w:type="dxa"/>
          <w:right w:w="28" w:type="dxa"/>
        </w:tblCellMar>
      </w:tblPr>
      <w:tblGrid>
        <w:gridCol w:w="1567"/>
        <w:gridCol w:w="1378"/>
        <w:gridCol w:w="1389"/>
        <w:gridCol w:w="109"/>
        <w:gridCol w:w="109"/>
        <w:gridCol w:w="178"/>
        <w:gridCol w:w="178"/>
        <w:gridCol w:w="345"/>
        <w:gridCol w:w="1354"/>
        <w:gridCol w:w="178"/>
        <w:gridCol w:w="109"/>
        <w:gridCol w:w="109"/>
        <w:gridCol w:w="109"/>
        <w:gridCol w:w="211"/>
        <w:gridCol w:w="82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Salaries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Cash-Based Compensation and Benefits,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414,395 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cash-based compensation and benefits, net increased $46.5 million, or 13%, for the six months ended June 30, 2026 compared to the six months ended June 30, 2025 resulting from an increase in headcount to support our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Fee-Related Performance Compensation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fee-related performance compensation for the six months ended June 30, 2026 and 2025:</w:t>
      </w:r>
    </w:p>
    <w:tbl>
      <w:tblPr>
        <w:tblW w:w="7765" w:type="dxa"/>
        <w:jc w:val="left"/>
        <w:tblInd w:w="0" w:type="dxa"/>
        <w:tblLayout w:type="fixed"/>
        <w:tblCellMar>
          <w:top w:w="28" w:type="dxa"/>
          <w:left w:w="28" w:type="dxa"/>
          <w:bottom w:w="28" w:type="dxa"/>
          <w:right w:w="28" w:type="dxa"/>
        </w:tblCellMar>
      </w:tblPr>
      <w:tblGrid>
        <w:gridCol w:w="1445"/>
        <w:gridCol w:w="1274"/>
        <w:gridCol w:w="1286"/>
        <w:gridCol w:w="109"/>
        <w:gridCol w:w="109"/>
        <w:gridCol w:w="211"/>
        <w:gridCol w:w="211"/>
        <w:gridCol w:w="408"/>
        <w:gridCol w:w="1193"/>
        <w:gridCol w:w="211"/>
        <w:gridCol w:w="109"/>
        <w:gridCol w:w="109"/>
        <w:gridCol w:w="109"/>
        <w:gridCol w:w="211"/>
        <w:gridCol w:w="61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308" w:type="dxa"/>
            <w:gridSpan w:val="6"/>
            <w:tcBorders/>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Fee-related Performance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fee-related performance compensation increased $2.1 million, or 32%, for the six months ended June 30, 2026 compared to the six months ended June 30, 2025. This was primarily attributable to the increase in fee-related performance revenues from TCAP that drive compensation attributable to our partners and professionals.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$4.9 million, or 3%, for the six months ended June 30, 2026 compared to the six months ended June 30, 2025. This change was primarily due to an increase in professional fees and travel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Realized Performance Allocations,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realized performance allocations, net from our platforms for the six months ended June 30, 2026 and 2025:</w:t>
      </w:r>
    </w:p>
    <w:tbl>
      <w:tblPr>
        <w:tblW w:w="7868" w:type="dxa"/>
        <w:jc w:val="center"/>
        <w:tblInd w:w="0" w:type="dxa"/>
        <w:tblLayout w:type="fixed"/>
        <w:tblCellMar>
          <w:top w:w="28" w:type="dxa"/>
          <w:left w:w="28" w:type="dxa"/>
          <w:bottom w:w="28" w:type="dxa"/>
          <w:right w:w="28" w:type="dxa"/>
        </w:tblCellMar>
      </w:tblPr>
      <w:tblGrid>
        <w:gridCol w:w="1410"/>
        <w:gridCol w:w="1235"/>
        <w:gridCol w:w="1254"/>
        <w:gridCol w:w="109"/>
        <w:gridCol w:w="109"/>
        <w:gridCol w:w="178"/>
        <w:gridCol w:w="178"/>
        <w:gridCol w:w="345"/>
        <w:gridCol w:w="1354"/>
        <w:gridCol w:w="178"/>
        <w:gridCol w:w="109"/>
        <w:gridCol w:w="109"/>
        <w:gridCol w:w="109"/>
        <w:gridCol w:w="211"/>
        <w:gridCol w:w="82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518"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Realized Performance Allocations,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Realized performance allocations, net of $103.1 million for the six months ended June 30, 2026 were largely generated from realizations of $29.0 million from TPG IX and $12.1 million from THP II in the Capital platform, $18.1 million from TDM in the Growth platform, $11.5 million from Rise Climate I in the Impact platform, $4.2 million from MMDL V in the Credit platform and $3.4 million from Net Lease Realty III in the Real Estate platform. The activity consisted of realizations sourced from portfolio companies including One Oncology, Intersect Power and Anovo.</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Realized performance allocations, net of $126.7 million for the six months ended June 30, 2025 were largely generated from realizations of $48.0 million from TPG VII and $9.8 million from TPG VIII in the Capital platform, $41.7 million from Growth IV in the Growth platform, $4.5 million from Rise Climate I in the Impact platform, $3.9 million from Credit Solutions II, $3.2 million from MMDL IV and $2.2 million from MMDL V in the Credit platform and $2.1 million from TREP III in the Real Estate platform. The activity consisted of realizations sourced from portfolio companies including Viking Cruises, Crunch Fitness, DirecTV, Q-Centrix and Nextracker.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Realized Investment Income and Other,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realized investment income and other, net for the six months ended June 30, 2026 and 2025:</w:t>
      </w:r>
    </w:p>
    <w:tbl>
      <w:tblPr>
        <w:tblW w:w="8153" w:type="dxa"/>
        <w:jc w:val="center"/>
        <w:tblInd w:w="0" w:type="dxa"/>
        <w:tblLayout w:type="fixed"/>
        <w:tblCellMar>
          <w:top w:w="28" w:type="dxa"/>
          <w:left w:w="28" w:type="dxa"/>
          <w:bottom w:w="28" w:type="dxa"/>
          <w:right w:w="28" w:type="dxa"/>
        </w:tblCellMar>
      </w:tblPr>
      <w:tblGrid>
        <w:gridCol w:w="1553"/>
        <w:gridCol w:w="1365"/>
        <w:gridCol w:w="1371"/>
        <w:gridCol w:w="109"/>
        <w:gridCol w:w="109"/>
        <w:gridCol w:w="193"/>
        <w:gridCol w:w="193"/>
        <w:gridCol w:w="374"/>
        <w:gridCol w:w="1280"/>
        <w:gridCol w:w="193"/>
        <w:gridCol w:w="109"/>
        <w:gridCol w:w="109"/>
        <w:gridCol w:w="109"/>
        <w:gridCol w:w="211"/>
        <w:gridCol w:w="721"/>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413" w:type="dxa"/>
            <w:gridSpan w:val="6"/>
            <w:tcBorders/>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Realized Investment Income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realized investment income and other, net of $4.7 million during the six months ended June 30, 2026 compared to the six months ended June 30, 2025 resulted primarily from a decrease in our non-core expense, partially offset by a decrease in realizations. Our non-core activity includes expenses of $26.7 million related to our unoccupied lease space and $8.6 million related to strategic transaction and integration activity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increased $1.4 million for the six months ended June 30, 2026 compared to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interest expense, net for the six months ended June 30, 2026 and 2025:</w:t>
      </w:r>
    </w:p>
    <w:tbl>
      <w:tblPr>
        <w:tblW w:w="5754" w:type="dxa"/>
        <w:jc w:val="center"/>
        <w:tblInd w:w="0" w:type="dxa"/>
        <w:tblLayout w:type="fixed"/>
        <w:tblCellMar>
          <w:top w:w="28" w:type="dxa"/>
          <w:left w:w="28" w:type="dxa"/>
          <w:bottom w:w="28" w:type="dxa"/>
          <w:right w:w="28" w:type="dxa"/>
        </w:tblCellMar>
      </w:tblPr>
      <w:tblGrid>
        <w:gridCol w:w="685"/>
        <w:gridCol w:w="600"/>
        <w:gridCol w:w="605"/>
        <w:gridCol w:w="109"/>
        <w:gridCol w:w="109"/>
        <w:gridCol w:w="193"/>
        <w:gridCol w:w="193"/>
        <w:gridCol w:w="374"/>
        <w:gridCol w:w="1280"/>
        <w:gridCol w:w="193"/>
        <w:gridCol w:w="109"/>
        <w:gridCol w:w="109"/>
        <w:gridCol w:w="109"/>
        <w:gridCol w:w="211"/>
        <w:gridCol w:w="721"/>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c>
          <w:tcPr>
            <w:tcW w:w="1413" w:type="dxa"/>
            <w:gridSpan w:val="6"/>
            <w:tcBorders/>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$24.0 million for the six months ended June 30, 2026 compared to the six months ended June 30, 2025, primarily due to an increase in outstanding principal balances on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Distributable Earnings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DE for the six months ended June 30, 2026 compared to the six months ended June 30, 2025 was primarily due to an increase in FRE, partially offset by an increase in interest expense,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taxes increased $9.3 million, or 44%, for the six months ended June 30, 2026 compared to the six months ended June 30, 2025 primarily due to an increase in our current payable under our Tax Receivable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Reconciliation to U.S. GAAP Measures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most directly comparable financial measures calculated and presented in accordance with U.S. GAAP to non-GAAP financial measures for the three and six months ended June 30, 2026 and 2025:</w:t>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9300" w:type="dxa"/>
        <w:jc w:val="left"/>
        <w:tblInd w:w="0" w:type="dxa"/>
        <w:tblLayout w:type="fixed"/>
        <w:tblCellMar>
          <w:top w:w="28" w:type="dxa"/>
          <w:left w:w="28" w:type="dxa"/>
          <w:bottom w:w="28" w:type="dxa"/>
          <w:right w:w="28" w:type="dxa"/>
        </w:tblCellMar>
      </w:tblPr>
      <w:tblGrid>
        <w:gridCol w:w="1170"/>
        <w:gridCol w:w="1031"/>
        <w:gridCol w:w="103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7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Capital-allocation based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40"/>
        <w:jc w:val="both"/>
        <w:rPr>
          <w:rFonts w:ascii="Times New Roman;serif" w:hAnsi="Times New Roman;serif"/>
          <w:b w:val="false"/>
          <w:i/>
          <w:color w:val="000000"/>
          <w:sz w:val="20"/>
        </w:rPr>
      </w:pPr>
      <w:r>
        <w:rPr>
          <w:rFonts w:ascii="Times New Roman;serif" w:hAnsi="Times New Roman;serif"/>
          <w:b w:val="false"/>
          <w:i/>
          <w:color w:val="000000"/>
          <w:sz w:val="20"/>
        </w:rPr>
        <w:t>Expenses</w:t>
      </w:r>
    </w:p>
    <w:tbl>
      <w:tblPr>
        <w:tblW w:w="9360" w:type="dxa"/>
        <w:jc w:val="center"/>
        <w:tblInd w:w="0" w:type="dxa"/>
        <w:tblLayout w:type="fixed"/>
        <w:tblCellMar>
          <w:top w:w="28" w:type="dxa"/>
          <w:left w:w="28" w:type="dxa"/>
          <w:bottom w:w="28" w:type="dxa"/>
          <w:right w:w="28" w:type="dxa"/>
        </w:tblCellMar>
      </w:tblPr>
      <w:tblGrid>
        <w:gridCol w:w="1194"/>
        <w:gridCol w:w="1052"/>
        <w:gridCol w:w="105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allocation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Non-core expenses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w:t>
      </w:r>
    </w:p>
    <w:tbl>
      <w:tblPr>
        <w:tblW w:w="10205" w:type="dxa"/>
        <w:jc w:val="left"/>
        <w:tblInd w:w="0" w:type="dxa"/>
        <w:tblLayout w:type="fixed"/>
        <w:tblCellMar>
          <w:top w:w="28" w:type="dxa"/>
          <w:left w:w="28" w:type="dxa"/>
          <w:bottom w:w="28" w:type="dxa"/>
          <w:right w:w="28" w:type="dxa"/>
        </w:tblCellMar>
      </w:tblPr>
      <w:tblGrid>
        <w:gridCol w:w="1672"/>
        <w:gridCol w:w="1472"/>
        <w:gridCol w:w="144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(loss)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other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performance allocations,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After-tax Distributable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455,026 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Distributable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performance allocations,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investment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Fee-Related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Accrued Performance</w:t>
      </w:r>
    </w:p>
    <w:tbl>
      <w:tblPr>
        <w:tblW w:w="7111" w:type="dxa"/>
        <w:jc w:val="left"/>
        <w:tblInd w:w="0" w:type="dxa"/>
        <w:tblLayout w:type="fixed"/>
        <w:tblCellMar>
          <w:top w:w="28" w:type="dxa"/>
          <w:left w:w="28" w:type="dxa"/>
          <w:bottom w:w="28" w:type="dxa"/>
          <w:right w:w="28" w:type="dxa"/>
        </w:tblCellMar>
      </w:tblPr>
      <w:tblGrid>
        <w:gridCol w:w="1412"/>
        <w:gridCol w:w="1239"/>
        <w:gridCol w:w="1248"/>
        <w:gridCol w:w="211"/>
        <w:gridCol w:w="976"/>
        <w:gridCol w:w="109"/>
        <w:gridCol w:w="109"/>
        <w:gridCol w:w="109"/>
        <w:gridCol w:w="109"/>
        <w:gridCol w:w="250"/>
        <w:gridCol w:w="1157"/>
        <w:gridCol w:w="182"/>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9,211,816 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and other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(1,902,577)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performance allocation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(5,399,750)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other consolidated entities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(629,734)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Accrued Performance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1,279,755 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Operating Metrics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certain operating metrics that are common to the alternative asset management industry and that we believe provide important data regarding our business. The following operating metrics do not include other investments that are not included in the TPG Operating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Assets Under Management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Under Management (“AUM”) represents the sum of:</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ii.the gross amount of assets (including leverage where applicable) for our real estate investment trusts and BDCs;</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 xml:space="preserve">iii.the net asset value of certain of our hedge funds; and </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iv.the aggregate par amount of collateral assets, including principal cash, for our collateralized loan obligation vehicles.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definition of AUM is not based on any definition of AUM that may be set forth in the agreements governing the investment funds that we manage, or calculated pursuant to any regulatory definitions.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AUM by platform as of June 30, 2026 and 2025: </w:t>
      </w:r>
    </w:p>
    <w:tbl>
      <w:tblPr>
        <w:tblW w:w="4823" w:type="dxa"/>
        <w:jc w:val="center"/>
        <w:tblInd w:w="0" w:type="dxa"/>
        <w:tblLayout w:type="fixed"/>
        <w:tblCellMar>
          <w:top w:w="28" w:type="dxa"/>
          <w:left w:w="28" w:type="dxa"/>
          <w:bottom w:w="28" w:type="dxa"/>
          <w:right w:w="28" w:type="dxa"/>
        </w:tblCellMar>
      </w:tblPr>
      <w:tblGrid>
        <w:gridCol w:w="782"/>
        <w:gridCol w:w="686"/>
        <w:gridCol w:w="691"/>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AUM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rollforwards of our total AUM for the three and six months ended June 30, 2026 and 2025:</w:t>
      </w:r>
    </w:p>
    <w:tbl>
      <w:tblPr>
        <w:tblW w:w="9150" w:type="dxa"/>
        <w:jc w:val="left"/>
        <w:tblInd w:w="0" w:type="dxa"/>
        <w:tblLayout w:type="fixed"/>
        <w:tblCellMar>
          <w:top w:w="28" w:type="dxa"/>
          <w:left w:w="28" w:type="dxa"/>
          <w:bottom w:w="28" w:type="dxa"/>
          <w:right w:w="28" w:type="dxa"/>
        </w:tblCellMar>
      </w:tblPr>
      <w:tblGrid>
        <w:gridCol w:w="1283"/>
        <w:gridCol w:w="1125"/>
        <w:gridCol w:w="11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Raised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Outflows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Investment Value and Other</w:t>
            </w:r>
            <w:r>
              <w:rPr>
                <w:rFonts w:ascii="Times New Roman;serif" w:hAnsi="Times New Roman;serif"/>
                <w:b w:val="false"/>
                <w:color w:val="000000"/>
                <w:sz w:val="13"/>
              </w:rPr>
              <w:t xml:space="preserve">(2)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AUM as of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(1)Outflows represent redemptions and withdrawals.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(2)Changes in Investment Value and Other consists of changes in fair value, capital invested, available capital and net fund-level asset related leverage activity plus other investment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AUM increased approximately $20.6 billion during the three months ended June 30, 2026. This increase was led by $16.1 billion of capital raised primarily attributable to fundraising activities of TPG X and THP III within the Capital platform, TPG Sports within the Growth platform, Rise Climate II within the Impact platform, TPG Direct Lending within the Credit platform and Peppertree XI within the Market Solutions platform. These increases were partially offset by realization activities in TPG VII, TPG VIII, TPG IX and TPG X within the Capital platform, TDM within the Growth platform, MMDL V and MMDL IV within the Credit platform and Realty Value XI and Net Lease Realty III within the Real Estate platform during the three months ended June 30, 2026. AUM also increased due to investment appreciation during the three months ended June 30, 2026.</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AUM increased approximately $23.7 billion during the six months ended June 30, 2026. This increase was led by $26.5 billion of capital raised primarily attributable to fundraising activities of TPG X and THP III within the Capital platform, TPG Sports within the Growth platform, Rise IV and Rise Climate II within the Impact platform, TPG Direct Lending and TPG Asset Based Finance within the Credit platform, Net Lease Realty V within the Real Estate platform and Peppertree XI and T-POP within the Market Solutions platform. These increases were partially offset by realization activities in TPG IX and THP II within the Capital platform, TDM within the Growth platform, Rise Climate I within the Impact platform and Credit Solutions II within the Credit platform during the six months ended June 30, 2026. AUM also increased due to investment appreciation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Fee-Earning Assets Under Management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FAUM by platform as of June 30, 2026 and 2025: </w:t>
      </w:r>
    </w:p>
    <w:tbl>
      <w:tblPr>
        <w:tblW w:w="4944" w:type="dxa"/>
        <w:jc w:val="center"/>
        <w:tblInd w:w="0" w:type="dxa"/>
        <w:tblLayout w:type="fixed"/>
        <w:tblCellMar>
          <w:top w:w="28" w:type="dxa"/>
          <w:left w:w="28" w:type="dxa"/>
          <w:bottom w:w="28" w:type="dxa"/>
          <w:right w:w="28" w:type="dxa"/>
        </w:tblCellMar>
      </w:tblPr>
      <w:tblGrid>
        <w:gridCol w:w="826"/>
        <w:gridCol w:w="725"/>
        <w:gridCol w:w="729"/>
        <w:gridCol w:w="211"/>
        <w:gridCol w:w="82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FAUM as of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rollforwards of our FAUM for the three and six months ended June 30, 2026 and 2025: </w:t>
      </w:r>
    </w:p>
    <w:p>
      <w:pPr>
        <w:pStyle w:val="TextBody"/>
        <w:bidi w:val="0"/>
        <w:spacing w:before="0" w:after="0"/>
        <w:jc w:val="both"/>
        <w:rPr/>
      </w:pPr>
      <w:r>
        <w:rPr/>
      </w:r>
    </w:p>
    <w:tbl>
      <w:tblPr>
        <w:tblW w:w="8505" w:type="dxa"/>
        <w:jc w:val="left"/>
        <w:tblInd w:w="0" w:type="dxa"/>
        <w:tblLayout w:type="fixed"/>
        <w:tblCellMar>
          <w:top w:w="28" w:type="dxa"/>
          <w:left w:w="28" w:type="dxa"/>
          <w:bottom w:w="28" w:type="dxa"/>
          <w:right w:w="28" w:type="dxa"/>
        </w:tblCellMar>
      </w:tblPr>
      <w:tblGrid>
        <w:gridCol w:w="1049"/>
        <w:gridCol w:w="920"/>
        <w:gridCol w:w="92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Fee-Earning Capital Raised</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Deployment</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Realizations</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in Fee Base</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Outflows</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Market Activity and Other</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FAUM as of end of period</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(1)Fee-Earning Capital Raised represents capital raised by our funds for which management fees calculated based on commitments or subscriptions were activated during the period.</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(2)Deployment represents increases in investment cost and CLO collateral assets, as well as capital called for investments.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(3)Realizations represent decreases in investment cost and CLO collateral assets, as well as distributions of investment related proceeds.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(5)Outflows represent redemptions and withdrawals.</w:t>
      </w:r>
    </w:p>
    <w:p>
      <w:pPr>
        <w:pStyle w:val="TextBody"/>
        <w:bidi w:val="0"/>
        <w:spacing w:lineRule="auto" w:line="288" w:before="60" w:after="24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(6)Market Activity and Other represents income activity for our funds for which management fees are calculated based on invested net capital or net asset value, as well as foreign exchange fluctuations.</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FAUM increased $5.6 billion during the three months ended June 30, 2026, primarily driven by $3.8 billion in fee-earning capital raised. This activity was led by additional closings of TPG X and the activation of THP III during the first quarter of 2026 within the Capital platform, the activation of TPG Sports during the first quarter of 2026 within the Growth platform and subsequent closings for Rise Climate II within the Impact platform. Deployment added $5.4 billion to FAUM primarily driven by TPG IX and THP II within the Capital platform and Credit Solutions III and MMDL V within the Credit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FAUM increased $10.9 billion during the six months ended June 30, 2026, primarily driven by $9.0 billion in fee-earning capital raised. This activity was led by additional closings of TPG X and the activation of THP III during the first quarter of 2026 within the Capital platform, the activation of TPG Sports during the first quarter of 2026 within the Growth platform and the initial close for Rise IV during the first quarter of 2026 and subsequent closings for Rise Climate II within the Impact platform. Deployment added $10.1 billion to FAUM primarily driven by TPG IX and THP II within the Capital platform, TPG Atlas within the Growth platform, MMDL V, Credit Solutions III and ABC Evergreen within the Credit platform and TRECO within the Real Estate platform. These increases were partially offset by realizations of $6.0 billion primarily attributable to TPG IX within the Capital platform, Rise Climate I within the Impact platform, and Credit Solutions II, Essential Housing II and MMDL IV within the Credit platform. For the six months ended June 30, 2026, annualized weighted average management fees as a percentage of FAUM, which represent annualized management fees divided by the average of each applicable period’s FAUM were 1.16%.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i/>
          <w:color w:val="000000"/>
          <w:sz w:val="20"/>
        </w:rPr>
        <w:t>Net Accrued Performance</w:t>
      </w:r>
      <w:r>
        <w:rPr>
          <w:color w:val="000000"/>
        </w:rPr>
        <w:t xml:space="preserv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tables below summarize our net accrued performance by fund vintage year and platform as of June 30, 2026 and December 31, 2025:</w:t>
      </w:r>
    </w:p>
    <w:tbl>
      <w:tblPr>
        <w:tblW w:w="5381" w:type="dxa"/>
        <w:jc w:val="left"/>
        <w:tblInd w:w="0" w:type="dxa"/>
        <w:tblLayout w:type="fixed"/>
        <w:tblCellMar>
          <w:top w:w="28" w:type="dxa"/>
          <w:left w:w="28" w:type="dxa"/>
          <w:bottom w:w="28" w:type="dxa"/>
          <w:right w:w="28" w:type="dxa"/>
        </w:tblCellMar>
      </w:tblPr>
      <w:tblGrid>
        <w:gridCol w:w="837"/>
        <w:gridCol w:w="734"/>
        <w:gridCol w:w="739"/>
        <w:gridCol w:w="260"/>
        <w:gridCol w:w="760"/>
        <w:gridCol w:w="134"/>
        <w:gridCol w:w="109"/>
        <w:gridCol w:w="109"/>
        <w:gridCol w:w="109"/>
        <w:gridCol w:w="342"/>
        <w:gridCol w:w="999"/>
        <w:gridCol w:w="24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in millions)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 Vintage</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&amp; Prior</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Accrued Performance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81" w:type="dxa"/>
        <w:jc w:val="center"/>
        <w:tblInd w:w="0" w:type="dxa"/>
        <w:tblLayout w:type="fixed"/>
        <w:tblCellMar>
          <w:top w:w="28" w:type="dxa"/>
          <w:left w:w="28" w:type="dxa"/>
          <w:bottom w:w="28" w:type="dxa"/>
          <w:right w:w="28" w:type="dxa"/>
        </w:tblCellMar>
      </w:tblPr>
      <w:tblGrid>
        <w:gridCol w:w="838"/>
        <w:gridCol w:w="735"/>
        <w:gridCol w:w="737"/>
        <w:gridCol w:w="260"/>
        <w:gridCol w:w="760"/>
        <w:gridCol w:w="134"/>
        <w:gridCol w:w="109"/>
        <w:gridCol w:w="109"/>
        <w:gridCol w:w="109"/>
        <w:gridCol w:w="342"/>
        <w:gridCol w:w="999"/>
        <w:gridCol w:w="249"/>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in millions)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Platform</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Accrued Performance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accrued performance was primarily driven by TPG VIII, TPG IX, Asia VII, Growth IV, Growth V and Rise Climate I as of June 30, 2026 and TPG VIII, TPG IX, Asia VII, Growth V and Growth IV as of December 31, 2025.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utilize Performance Generating AUM and Performance Eligible AUM as key metrics to understand AUM that could produce performance allocations or fee-related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Generating AUM totaled $222.0 billion and $208.8 billion as of June 30, 2026 and December 31, 2025, respectively. Across the investment funds that we manage, Performance Eligible AUM totaled $273.0 billion and $254.3 billion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AUM Subject to Fee-Earning Growth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 </w:t>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reflects AUM Subject to Fee-Earning Growth by platform as of June 30, 2026 and December 31, 2025: </w:t>
      </w:r>
    </w:p>
    <w:tbl>
      <w:tblPr>
        <w:tblW w:w="6822" w:type="dxa"/>
        <w:jc w:val="left"/>
        <w:tblInd w:w="0" w:type="dxa"/>
        <w:tblLayout w:type="fixed"/>
        <w:tblCellMar>
          <w:top w:w="28" w:type="dxa"/>
          <w:left w:w="28" w:type="dxa"/>
          <w:bottom w:w="28" w:type="dxa"/>
          <w:right w:w="28" w:type="dxa"/>
        </w:tblCellMar>
      </w:tblPr>
      <w:tblGrid>
        <w:gridCol w:w="1357"/>
        <w:gridCol w:w="1194"/>
        <w:gridCol w:w="1199"/>
        <w:gridCol w:w="234"/>
        <w:gridCol w:w="800"/>
        <w:gridCol w:w="121"/>
        <w:gridCol w:w="109"/>
        <w:gridCol w:w="109"/>
        <w:gridCol w:w="109"/>
        <w:gridCol w:w="309"/>
        <w:gridCol w:w="1056"/>
        <w:gridCol w:w="225"/>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AUM Not Yet Earning Fees: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AUM Not Yet Earning Fees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FAUM Subject to Step-Up:</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FAUM Subject to Step-Up</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AUM Subject to Fee-Earning Growth</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AUM Not Yet Earning Fees was $39.3 billion, which primarily consisted of TPG IX, TPG VIII and THP II within the Capital platform, Growth V within the Growth platform, Rise Climate I within the Impact platform, Credit Solutions III, TPG Direct Lending and MMDL VI within the Credit platform, TRECO and Net Lease Realty V within the Real Estate platform and Peppertree XI within the Market Solutions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Associated with FAUM Subject to Step-Up, management fee rates for these respective underlying funds or certain investors range between 0.35% and 1.65% and step-up to rates in the range of 0.47% and 1.75% after capital is invested or as a fund reaches a certain point in its life where the fee rate for certain investors increases. FAUM Subject to Step-Up as of June 30, 2026 relates primarily to TPG X within the Capital platform, MMDL V, Credit Solutions III and ABC Fund II within the Credit platform, Asia Realty V within the Real Estate platform and T-POP within the Market Solutions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Capital Raised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capital raised by platform for the three and six months ended June 30, 2026 and 2025: </w:t>
      </w:r>
    </w:p>
    <w:tbl>
      <w:tblPr>
        <w:tblW w:w="7097" w:type="dxa"/>
        <w:jc w:val="left"/>
        <w:tblInd w:w="0" w:type="dxa"/>
        <w:tblLayout w:type="fixed"/>
        <w:tblCellMar>
          <w:top w:w="28" w:type="dxa"/>
          <w:left w:w="28" w:type="dxa"/>
          <w:bottom w:w="28" w:type="dxa"/>
          <w:right w:w="28" w:type="dxa"/>
        </w:tblCellMar>
      </w:tblPr>
      <w:tblGrid>
        <w:gridCol w:w="679"/>
        <w:gridCol w:w="596"/>
        <w:gridCol w:w="59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Capital Raised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raised totaled approximately $16.1 billion for the three months ended June 30, 2026. This was primarily attributable to the fundraising activities of TPG X and THP III within the Capital platform, TPG Sports within the Growth platform, Rise Climate II within the Impact platform, TPG Direct Lending within the Credit platform and Peppertree XI within the Market Solutions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raised totaled approximately $26.5 billion for the six months ended June 30, 2026. This was primarily attributable to the fundraising activities of TPG X and THP III within the Capital platform, TPG Sports within the Growth platform, Rise IV and Rise Climate II within the Impact platform, TPG Direct Lending and TPG Asset Based Finance within the Credit platform, Net Lease Realty V within the Real Estate platform and Peppertree XI and T-POP within the Market Solutions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Available Capital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available capital by platform as of June 30, 2026 and 2025:</w:t>
      </w:r>
    </w:p>
    <w:tbl>
      <w:tblPr>
        <w:tblW w:w="4074" w:type="dxa"/>
        <w:jc w:val="left"/>
        <w:tblInd w:w="0" w:type="dxa"/>
        <w:tblLayout w:type="fixed"/>
        <w:tblCellMar>
          <w:top w:w="28" w:type="dxa"/>
          <w:left w:w="28" w:type="dxa"/>
          <w:bottom w:w="28" w:type="dxa"/>
          <w:right w:w="28" w:type="dxa"/>
        </w:tblCellMar>
      </w:tblPr>
      <w:tblGrid>
        <w:gridCol w:w="587"/>
        <w:gridCol w:w="515"/>
        <w:gridCol w:w="518"/>
        <w:gridCol w:w="211"/>
        <w:gridCol w:w="721"/>
        <w:gridCol w:w="109"/>
        <w:gridCol w:w="109"/>
        <w:gridCol w:w="109"/>
        <w:gridCol w:w="109"/>
        <w:gridCol w:w="211"/>
        <w:gridCol w:w="72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Available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Available capital totaled $76.2 billion as of June 30, 2026, primarily attributable to TPG X, Asia VIII, THP III, TPG IX and TPG VIII within the Capital platform, Growth VI, TPG Sports and Growth V within the Growth platform, Rise Climate II and Rise Climate I within the Impact platform, Credit Solutions III, TPG Direct Lending and MMDL VI within the Credit platform, Europe Realty IV, TREP IV, TRECO, Asia Realty V and TREP III within the Real Estate platform and TGS II and Peppertree XI within the Market Solutions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Capital Invested</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capital invested by platform for the three and six months ended June 30, 2026 and 2025:</w:t>
      </w:r>
    </w:p>
    <w:tbl>
      <w:tblPr>
        <w:tblW w:w="6752" w:type="dxa"/>
        <w:jc w:val="left"/>
        <w:tblInd w:w="0" w:type="dxa"/>
        <w:tblLayout w:type="fixed"/>
        <w:tblCellMar>
          <w:top w:w="28" w:type="dxa"/>
          <w:left w:w="28" w:type="dxa"/>
          <w:bottom w:w="28" w:type="dxa"/>
          <w:right w:w="28" w:type="dxa"/>
        </w:tblCellMar>
      </w:tblPr>
      <w:tblGrid>
        <w:gridCol w:w="554"/>
        <w:gridCol w:w="486"/>
        <w:gridCol w:w="489"/>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Invested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invested was $13.8 billion for the three months ended June 30, 2026, which was primarily attributable to TPG X and TPG IX within the Capital platform, Rise Climate II within the Impact platform, Credit Solutions III, MVP Fund and TCAP within the Credit platform, TRTX within the Real Estate platform and Peppertree X within the Market Solutions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Capital invested was $28.2 billion for the six months ended June 30, 2026, which was primarily attributable to TPG X, TPG IX and THP II within the Capital platform, Rise Climate II within the Impact platform, ABC Evergreen, ABC Fund II, MMDL V and Credit Solutions III within the Credit platform and TREP IV and TRTX within the Real Estate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Realizations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Realizations represent proceeds from the disposition of investments and current income, and in the case of credit funds, distributions sourced from realization proceeds.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realizations by platform for the three and six months ended June 30, 2026 and 2025: </w:t>
      </w:r>
    </w:p>
    <w:tbl>
      <w:tblPr>
        <w:tblW w:w="6904" w:type="dxa"/>
        <w:jc w:val="left"/>
        <w:tblInd w:w="0" w:type="dxa"/>
        <w:tblLayout w:type="fixed"/>
        <w:tblCellMar>
          <w:top w:w="28" w:type="dxa"/>
          <w:left w:w="28" w:type="dxa"/>
          <w:bottom w:w="28" w:type="dxa"/>
          <w:right w:w="28" w:type="dxa"/>
        </w:tblCellMar>
      </w:tblPr>
      <w:tblGrid>
        <w:gridCol w:w="609"/>
        <w:gridCol w:w="534"/>
        <w:gridCol w:w="537"/>
        <w:gridCol w:w="234"/>
        <w:gridCol w:w="685"/>
        <w:gridCol w:w="121"/>
        <w:gridCol w:w="121"/>
        <w:gridCol w:w="121"/>
        <w:gridCol w:w="121"/>
        <w:gridCol w:w="234"/>
        <w:gridCol w:w="685"/>
        <w:gridCol w:w="121"/>
        <w:gridCol w:w="109"/>
        <w:gridCol w:w="109"/>
        <w:gridCol w:w="109"/>
        <w:gridCol w:w="211"/>
        <w:gridCol w:w="721"/>
        <w:gridCol w:w="109"/>
        <w:gridCol w:w="109"/>
        <w:gridCol w:w="109"/>
        <w:gridCol w:w="109"/>
        <w:gridCol w:w="211"/>
        <w:gridCol w:w="72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Growth</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Solutions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Realizations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Realizations were $5.1 billion for the three months ended June 30, 2026, primarily attributable to realization activities in TPG VII, TPG VIII, TPG IX and TPG X within the Capital platform, TDM within the Growth platform, MMDL V and MMDL IV within the Credit platform and Realty Value XI and Net Lease Realty III within the Real Estate platform.</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Realizations were $13.8 billion for the six months ended June 30, 2026, primarily attributable to realization activities in TPG IX and THP II within the Capital platform, TDM within the Growth platform, Rise Climate I within the Impact platform and Credit Solutions II within the Credit platform.</w:t>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 xml:space="preserve">Fund Performance Metrics </w:t>
      </w:r>
    </w:p>
    <w:p>
      <w:pPr>
        <w:pStyle w:val="TextBody"/>
        <w:bidi w:val="0"/>
        <w:spacing w:lineRule="auto" w:line="288" w:before="240" w:after="283"/>
        <w:ind w:left="0" w:right="0" w:firstLine="540"/>
        <w:jc w:val="both"/>
        <w:rPr/>
      </w:pPr>
      <w:r>
        <w:rPr>
          <w:rFonts w:ascii="Times New Roman;serif" w:hAnsi="Times New Roman;serif"/>
          <w:b w:val="false"/>
          <w:color w:val="000000"/>
          <w:sz w:val="20"/>
        </w:rPr>
        <w:t>Fund performance information for our investment funds as of June 30, 2026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w:t>
      </w:r>
      <w:r>
        <w:rPr>
          <w:color w:val="000000"/>
        </w:rPr>
        <w:t>—</w:t>
      </w:r>
      <w:r>
        <w:rPr>
          <w:rFonts w:ascii="Times New Roman;serif" w:hAnsi="Times New Roman;serif"/>
          <w:b w:val="false"/>
          <w:color w:val="000000"/>
          <w:sz w:val="20"/>
        </w:rPr>
        <w:t xml:space="preserve">Risk Factors—Risks Related to Our Business—Our funds’ historical returns should not be considered as indicative of our or our funds’ future results or of any returns expected on an investment in our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333"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performance of our selected funds as of June 30, 2026 ($ in millions):</w:t>
      </w:r>
    </w:p>
    <w:tbl>
      <w:tblPr>
        <w:tblW w:w="10668" w:type="dxa"/>
        <w:jc w:val="left"/>
        <w:tblInd w:w="0" w:type="dxa"/>
        <w:tblLayout w:type="fixed"/>
        <w:tblCellMar>
          <w:top w:w="28" w:type="dxa"/>
          <w:left w:w="28" w:type="dxa"/>
          <w:bottom w:w="28" w:type="dxa"/>
          <w:right w:w="28" w:type="dxa"/>
        </w:tblCellMar>
      </w:tblPr>
      <w:tblGrid>
        <w:gridCol w:w="498"/>
        <w:gridCol w:w="267"/>
        <w:gridCol w:w="271"/>
        <w:gridCol w:w="190"/>
        <w:gridCol w:w="190"/>
        <w:gridCol w:w="191"/>
        <w:gridCol w:w="109"/>
        <w:gridCol w:w="109"/>
        <w:gridCol w:w="109"/>
        <w:gridCol w:w="240"/>
        <w:gridCol w:w="406"/>
        <w:gridCol w:w="135"/>
        <w:gridCol w:w="109"/>
        <w:gridCol w:w="109"/>
        <w:gridCol w:w="109"/>
        <w:gridCol w:w="310"/>
        <w:gridCol w:w="336"/>
        <w:gridCol w:w="111"/>
        <w:gridCol w:w="109"/>
        <w:gridCol w:w="109"/>
        <w:gridCol w:w="109"/>
        <w:gridCol w:w="295"/>
        <w:gridCol w:w="441"/>
        <w:gridCol w:w="109"/>
        <w:gridCol w:w="109"/>
        <w:gridCol w:w="109"/>
        <w:gridCol w:w="109"/>
        <w:gridCol w:w="218"/>
        <w:gridCol w:w="428"/>
        <w:gridCol w:w="116"/>
        <w:gridCol w:w="109"/>
        <w:gridCol w:w="109"/>
        <w:gridCol w:w="109"/>
        <w:gridCol w:w="247"/>
        <w:gridCol w:w="489"/>
        <w:gridCol w:w="109"/>
        <w:gridCol w:w="109"/>
        <w:gridCol w:w="109"/>
        <w:gridCol w:w="109"/>
        <w:gridCol w:w="176"/>
        <w:gridCol w:w="110"/>
        <w:gridCol w:w="248"/>
        <w:gridCol w:w="109"/>
        <w:gridCol w:w="109"/>
        <w:gridCol w:w="109"/>
        <w:gridCol w:w="200"/>
        <w:gridCol w:w="155"/>
        <w:gridCol w:w="156"/>
        <w:gridCol w:w="109"/>
        <w:gridCol w:w="109"/>
        <w:gridCol w:w="109"/>
        <w:gridCol w:w="173"/>
        <w:gridCol w:w="173"/>
        <w:gridCol w:w="241"/>
        <w:gridCol w:w="109"/>
        <w:gridCol w:w="109"/>
        <w:gridCol w:w="109"/>
        <w:gridCol w:w="145"/>
        <w:gridCol w:w="145"/>
        <w:gridCol w:w="206"/>
      </w:tblGrid>
      <w:tr>
        <w:trPr/>
        <w:tc>
          <w:tcPr>
            <w:tcW w:w="4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Vintage Year</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Committed</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Invested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Realized 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Unrealized Value</w:t>
            </w:r>
            <w:r>
              <w:rPr>
                <w:rFonts w:ascii="Times New Roman;serif" w:hAnsi="Times New Roman;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Total Value</w:t>
            </w:r>
            <w:r>
              <w:rPr>
                <w:rFonts w:ascii="Times New Roman;serif" w:hAnsi="Times New Roman;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IRR</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MoM</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IRR</w:t>
            </w:r>
            <w:r>
              <w:rPr>
                <w:rFonts w:ascii="Times New Roman;serif" w:hAnsi="Times New Roman;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MoM</w:t>
            </w:r>
            <w:r>
              <w:rPr>
                <w:rFonts w:ascii="Times New Roman;serif" w:hAnsi="Times New Roman;serif"/>
                <w:b/>
                <w:color w:val="000000"/>
                <w:sz w:val="9"/>
              </w:rPr>
              <w:t>(9)</w:t>
            </w:r>
          </w:p>
        </w:tc>
      </w:tr>
      <w:tr>
        <w:trPr/>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Capital</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Capital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Air Partners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VII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VIII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TPG IX </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TPG X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12,274 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Capital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94,115 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84,409 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34,117 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157,280 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23</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Asia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VII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Asia VIII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Asia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19,773 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17,333 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10,906 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Healthcare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THP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THP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THP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Healthcare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8,075 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5,491 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6,502 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Continuation Vehicles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AAF</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AION</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Continuation Vehicles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1,524 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35</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Growth</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Growth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STAR</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Growth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Growth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Growth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Gator</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Growth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Growth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Growth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18,741 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16,748 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12,365 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Tech Adjacencies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TTAD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TTAD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TTAD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Tech Adjacencies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5,650 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5,102 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6,518 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TDM</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LSI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TECA</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Atlas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TPG Sports</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tbl>
      <w:tblPr>
        <w:tblW w:w="10981" w:type="dxa"/>
        <w:jc w:val="left"/>
        <w:tblInd w:w="0" w:type="dxa"/>
        <w:tblLayout w:type="fixed"/>
        <w:tblCellMar>
          <w:top w:w="28" w:type="dxa"/>
          <w:left w:w="28" w:type="dxa"/>
          <w:bottom w:w="28" w:type="dxa"/>
          <w:right w:w="28" w:type="dxa"/>
        </w:tblCellMar>
      </w:tblPr>
      <w:tblGrid>
        <w:gridCol w:w="498"/>
        <w:gridCol w:w="267"/>
        <w:gridCol w:w="271"/>
        <w:gridCol w:w="190"/>
        <w:gridCol w:w="190"/>
        <w:gridCol w:w="19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76"/>
        <w:gridCol w:w="110"/>
        <w:gridCol w:w="246"/>
        <w:gridCol w:w="109"/>
        <w:gridCol w:w="109"/>
        <w:gridCol w:w="109"/>
        <w:gridCol w:w="170"/>
        <w:gridCol w:w="155"/>
        <w:gridCol w:w="156"/>
        <w:gridCol w:w="109"/>
        <w:gridCol w:w="109"/>
        <w:gridCol w:w="109"/>
        <w:gridCol w:w="173"/>
        <w:gridCol w:w="173"/>
        <w:gridCol w:w="241"/>
        <w:gridCol w:w="109"/>
        <w:gridCol w:w="109"/>
        <w:gridCol w:w="109"/>
        <w:gridCol w:w="175"/>
        <w:gridCol w:w="145"/>
        <w:gridCol w:w="206"/>
      </w:tblGrid>
      <w:tr>
        <w:trPr/>
        <w:tc>
          <w:tcPr>
            <w:tcW w:w="4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Vintage Year</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Committed</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Invested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Realized 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Unrealized Value</w:t>
            </w:r>
            <w:r>
              <w:rPr>
                <w:rFonts w:ascii="Times New Roman;serif" w:hAnsi="Times New Roman;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Total Value</w:t>
            </w:r>
            <w:r>
              <w:rPr>
                <w:rFonts w:ascii="Times New Roman;serif" w:hAnsi="Times New Roman;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IRR</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MoM</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IRR</w:t>
            </w:r>
            <w:r>
              <w:rPr>
                <w:rFonts w:ascii="Times New Roman;serif" w:hAnsi="Times New Roman;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MoM</w:t>
            </w:r>
            <w:r>
              <w:rPr>
                <w:rFonts w:ascii="Times New Roman;serif" w:hAnsi="Times New Roman;serif"/>
                <w:b/>
                <w:color w:val="000000"/>
                <w:sz w:val="9"/>
              </w:rPr>
              <w:t>(9)</w:t>
            </w:r>
          </w:p>
        </w:tc>
      </w:tr>
      <w:tr>
        <w:trPr/>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Impact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The Rise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The Rise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Rise Climate Funds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Climate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Rise Climate II</w:t>
            </w:r>
            <w:r>
              <w:rPr>
                <w:rFonts w:ascii="Times New Roman;serif" w:hAnsi="Times New Roman;serif"/>
                <w:b w:val="false"/>
                <w:color w:val="000000"/>
                <w:sz w:val="10"/>
              </w:rPr>
              <w:t>(11)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Rise Climate Global South</w:t>
            </w:r>
            <w:r>
              <w:rPr>
                <w:rFonts w:ascii="Times New Roman;serif" w:hAnsi="Times New Roman;serif"/>
                <w:b w:val="false"/>
                <w:color w:val="000000"/>
                <w:sz w:val="10"/>
              </w:rPr>
              <w:t>(11)</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Rise Climate TI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Rise Climate Funds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TSI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Evercare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TPG NEXT</w:t>
            </w:r>
            <w:r>
              <w:rPr>
                <w:rFonts w:ascii="Times New Roman;serif" w:hAnsi="Times New Roman;serif"/>
                <w:b w:val="false"/>
                <w:color w:val="000000"/>
                <w:sz w:val="10"/>
              </w:rPr>
              <w:t>(12)</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Credit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Credit Solutions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 Dislocation A</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 Dislocation B</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II Dislocation A</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Solutions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Credit Solutions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1.4x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1.3x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Essential Housing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Essential Housing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Essential Housing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Essential Housing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Essential Housing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16</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1.3x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1.2x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Hybrid Solutions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Asset Based Finance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ABC Fund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ABC Fund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i/>
                <w:color w:val="000000"/>
                <w:sz w:val="16"/>
              </w:rPr>
            </w:pPr>
            <w:r>
              <w:rPr>
                <w:rFonts w:ascii="Times New Roman;serif" w:hAnsi="Times New Roman;serif"/>
                <w:b w:val="false"/>
                <w:i/>
                <w:color w:val="000000"/>
                <w:sz w:val="16"/>
              </w:rPr>
              <w:t>TPG Asset Based Finance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1.2x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u w:val="single"/>
              </w:rPr>
              <w:t>TPG Direct Lending</w:t>
            </w:r>
            <w:r>
              <w:rPr>
                <w:rFonts w:ascii="Times New Roman;serif" w:hAnsi="Times New Roman;serif"/>
                <w:b w:val="false"/>
                <w:i/>
                <w:color w:val="000000"/>
                <w:sz w:val="10"/>
                <w:u w:val="single"/>
              </w:rPr>
              <w:t>(</w:t>
            </w:r>
            <w:r>
              <w:rPr>
                <w:rFonts w:ascii="Times New Roman;serif" w:hAnsi="Times New Roman;serif"/>
                <w:b w:val="false"/>
                <w:i/>
                <w:color w:val="000000"/>
                <w:sz w:val="10"/>
              </w:rPr>
              <w:t>13)</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IV Annex</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NM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rPr>
            </w:pPr>
            <w:r>
              <w:rPr>
                <w:rFonts w:ascii="Times New Roman;serif" w:hAnsi="Times New Roman;serif"/>
                <w:b w:val="false"/>
                <w:i/>
                <w:color w:val="000000"/>
                <w:sz w:val="16"/>
              </w:rPr>
              <w:t>TPG Direct Lending</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1.5x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1.4x </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Continuation Vehicles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MMDL Continuation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Continuation Vehicles</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tbl>
      <w:tblPr>
        <w:tblW w:w="10616" w:type="dxa"/>
        <w:jc w:val="left"/>
        <w:tblInd w:w="0" w:type="dxa"/>
        <w:tblLayout w:type="fixed"/>
        <w:tblCellMar>
          <w:top w:w="28" w:type="dxa"/>
          <w:left w:w="28" w:type="dxa"/>
          <w:bottom w:w="28" w:type="dxa"/>
          <w:right w:w="28" w:type="dxa"/>
        </w:tblCellMar>
      </w:tblPr>
      <w:tblGrid>
        <w:gridCol w:w="303"/>
        <w:gridCol w:w="267"/>
        <w:gridCol w:w="271"/>
        <w:gridCol w:w="190"/>
        <w:gridCol w:w="190"/>
        <w:gridCol w:w="19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69"/>
        <w:gridCol w:w="331"/>
        <w:gridCol w:w="151"/>
        <w:gridCol w:w="109"/>
        <w:gridCol w:w="109"/>
        <w:gridCol w:w="109"/>
        <w:gridCol w:w="196"/>
        <w:gridCol w:w="556"/>
        <w:gridCol w:w="109"/>
        <w:gridCol w:w="109"/>
        <w:gridCol w:w="109"/>
        <w:gridCol w:w="109"/>
        <w:gridCol w:w="176"/>
        <w:gridCol w:w="110"/>
        <w:gridCol w:w="246"/>
        <w:gridCol w:w="109"/>
        <w:gridCol w:w="109"/>
        <w:gridCol w:w="109"/>
        <w:gridCol w:w="170"/>
        <w:gridCol w:w="155"/>
        <w:gridCol w:w="156"/>
        <w:gridCol w:w="109"/>
        <w:gridCol w:w="109"/>
        <w:gridCol w:w="109"/>
        <w:gridCol w:w="143"/>
        <w:gridCol w:w="143"/>
        <w:gridCol w:w="241"/>
        <w:gridCol w:w="109"/>
        <w:gridCol w:w="109"/>
        <w:gridCol w:w="109"/>
        <w:gridCol w:w="175"/>
        <w:gridCol w:w="145"/>
        <w:gridCol w:w="206"/>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Fund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Vintage Year</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Committed</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Invested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Realized 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Unrealized Value</w:t>
            </w:r>
            <w:r>
              <w:rPr>
                <w:rFonts w:ascii="Times New Roman;serif" w:hAnsi="Times New Roman;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Total Value</w:t>
            </w:r>
            <w:r>
              <w:rPr>
                <w:rFonts w:ascii="Times New Roman;serif" w:hAnsi="Times New Roman;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IRR</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MoM</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IRR</w:t>
            </w:r>
            <w:r>
              <w:rPr>
                <w:rFonts w:ascii="Times New Roman;serif" w:hAnsi="Times New Roman;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MoM</w:t>
            </w:r>
            <w:r>
              <w:rPr>
                <w:rFonts w:ascii="Times New Roman;serif" w:hAnsi="Times New Roman;serif"/>
                <w:b/>
                <w:color w:val="000000"/>
                <w:sz w:val="9"/>
              </w:rPr>
              <w:t>(9)</w:t>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Real Estate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Real Estate Partners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TREP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TREP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TREP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Real Estate Partners</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8,517 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1.3x</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AG Realty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2.2x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1.9x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2.4x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III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IV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1.7x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1.7x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IX</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Value X</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Realty Value XI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AG Realty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4,109 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1.4x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1.3x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AG Core Plus Realty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Plus Realty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Plus Realty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Plus Realty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1.8x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Plus Realty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AG Core Plus Realty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1.5x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1.4x </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Asia Realty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Realty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Realty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1.8x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Realty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Realty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 Realty 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Asia Realty</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13</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1.5x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Japan Value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Japan Value</w:t>
            </w:r>
            <w:r>
              <w:rPr>
                <w:rFonts w:ascii="Times New Roman;serif" w:hAnsi="Times New Roman;serif"/>
                <w:b w:val="false"/>
                <w:color w:val="000000"/>
                <w:sz w:val="10"/>
              </w:rPr>
              <w:t>(14)</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Japan Value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70</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1.2x</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AG Europe Real Estate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 Realty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2.0x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1.7x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 Realty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1.2x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Realty III</w:t>
            </w:r>
            <w:r>
              <w:rPr>
                <w:rFonts w:ascii="Times New Roman;serif" w:hAnsi="Times New Roman;serif"/>
                <w:b w:val="false"/>
                <w:color w:val="000000"/>
                <w:sz w:val="10"/>
              </w:rPr>
              <w:t>(15)</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1.1x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0.9x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Europe Realty IV</w:t>
            </w:r>
            <w:r>
              <w:rPr>
                <w:rFonts w:ascii="Times New Roman;serif" w:hAnsi="Times New Roman;serif"/>
                <w:b w:val="false"/>
                <w:color w:val="000000"/>
                <w:sz w:val="10"/>
              </w:rPr>
              <w:t>(15)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1.0x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AG Europe Real Estate</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2,372 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1.4x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Net Lease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Realty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2.4x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2.2x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Realty II</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2.4x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2.0x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Realty III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2.0x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1.6x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Realty IV</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1.5x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1.3x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Lease Realty V</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NM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NM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Net Lease</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1,516 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8,749 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1.9x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16"/>
              </w:rPr>
              <w:t xml:space="preserve">1.6x </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TAC+</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1.0x</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TRECO</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5"/>
        <w:gridCol w:w="288"/>
        <w:gridCol w:w="292"/>
        <w:gridCol w:w="197"/>
        <w:gridCol w:w="197"/>
        <w:gridCol w:w="198"/>
        <w:gridCol w:w="109"/>
        <w:gridCol w:w="109"/>
        <w:gridCol w:w="109"/>
        <w:gridCol w:w="248"/>
        <w:gridCol w:w="421"/>
        <w:gridCol w:w="140"/>
        <w:gridCol w:w="109"/>
        <w:gridCol w:w="109"/>
        <w:gridCol w:w="109"/>
        <w:gridCol w:w="227"/>
        <w:gridCol w:w="351"/>
        <w:gridCol w:w="116"/>
        <w:gridCol w:w="109"/>
        <w:gridCol w:w="109"/>
        <w:gridCol w:w="109"/>
        <w:gridCol w:w="230"/>
        <w:gridCol w:w="343"/>
        <w:gridCol w:w="113"/>
        <w:gridCol w:w="109"/>
        <w:gridCol w:w="109"/>
        <w:gridCol w:w="109"/>
        <w:gridCol w:w="213"/>
        <w:gridCol w:w="442"/>
        <w:gridCol w:w="119"/>
        <w:gridCol w:w="109"/>
        <w:gridCol w:w="109"/>
        <w:gridCol w:w="109"/>
        <w:gridCol w:w="228"/>
        <w:gridCol w:w="338"/>
        <w:gridCol w:w="111"/>
        <w:gridCol w:w="109"/>
        <w:gridCol w:w="109"/>
        <w:gridCol w:w="109"/>
        <w:gridCol w:w="177"/>
        <w:gridCol w:w="114"/>
        <w:gridCol w:w="256"/>
        <w:gridCol w:w="109"/>
        <w:gridCol w:w="109"/>
        <w:gridCol w:w="109"/>
        <w:gridCol w:w="162"/>
        <w:gridCol w:w="162"/>
        <w:gridCol w:w="163"/>
        <w:gridCol w:w="109"/>
        <w:gridCol w:w="109"/>
        <w:gridCol w:w="109"/>
        <w:gridCol w:w="160"/>
        <w:gridCol w:w="127"/>
        <w:gridCol w:w="246"/>
        <w:gridCol w:w="109"/>
        <w:gridCol w:w="109"/>
        <w:gridCol w:w="109"/>
        <w:gridCol w:w="149"/>
        <w:gridCol w:w="149"/>
        <w:gridCol w:w="230"/>
      </w:tblGrid>
      <w:tr>
        <w:trPr/>
        <w:tc>
          <w:tcPr>
            <w:tcW w:w="3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Fund</w:t>
            </w:r>
          </w:p>
        </w:tc>
        <w:tc>
          <w:tcPr>
            <w:tcW w:w="5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Vintage Year</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Committed</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Capital Invested</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Realized Value</w:t>
            </w:r>
            <w:r>
              <w:rPr>
                <w:rFonts w:ascii="Times New Roman;serif" w:hAnsi="Times New Roman;serif"/>
                <w:b/>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Unrealized Value</w:t>
            </w:r>
            <w:r>
              <w:rPr>
                <w:rFonts w:ascii="Times New Roman;serif" w:hAnsi="Times New Roman;serif"/>
                <w:b/>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Total Value</w:t>
            </w:r>
            <w:r>
              <w:rPr>
                <w:rFonts w:ascii="Times New Roman;serif" w:hAnsi="Times New Roman;serif"/>
                <w:b/>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IRR</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Gross MoM</w:t>
            </w:r>
            <w:r>
              <w:rPr>
                <w:rFonts w:ascii="Times New Roman;serif" w:hAnsi="Times New Roman;serif"/>
                <w:b/>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IRR</w:t>
            </w:r>
            <w:r>
              <w:rPr>
                <w:rFonts w:ascii="Times New Roman;serif" w:hAnsi="Times New Roman;serif"/>
                <w:b/>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MoM</w:t>
            </w:r>
            <w:r>
              <w:rPr>
                <w:rFonts w:ascii="Times New Roman;serif" w:hAnsi="Times New Roman;serif"/>
                <w:b/>
                <w:color w:val="000000"/>
                <w:sz w:val="9"/>
              </w:rPr>
              <w:t>(9)</w:t>
            </w:r>
          </w:p>
        </w:tc>
      </w:tr>
      <w:tr>
        <w:trPr/>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Platform: Market Solutions</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Peppertree Funds</w:t>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I</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II</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III</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IV</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V</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VI</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VII</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VIII</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IX</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X</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Peppertree XI</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Peppertree Funds</w:t>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6,661 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4,536 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924 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6,974 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7,898 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11</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TPG GP Solutions</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TGS I</w:t>
            </w:r>
            <w:r>
              <w:rPr>
                <w:rFonts w:ascii="Times New Roman;serif" w:hAnsi="Times New Roman;serif"/>
                <w:b w:val="false"/>
                <w:color w:val="000000"/>
                <w:sz w:val="10"/>
              </w:rPr>
              <w:t>(12)</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TGS II</w:t>
            </w:r>
            <w:r>
              <w:rPr>
                <w:rFonts w:ascii="Times New Roman;serif" w:hAnsi="Times New Roman;serif"/>
                <w:b w:val="false"/>
                <w:color w:val="000000"/>
                <w:sz w:val="10"/>
              </w:rPr>
              <w:t>(12)</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TPG GP Solutions</w:t>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3,605 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2,465 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61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NewQuest Funds</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NewQuest I</w:t>
            </w:r>
            <w:r>
              <w:rPr>
                <w:rFonts w:ascii="Times New Roman;serif" w:hAnsi="Times New Roman;serif"/>
                <w:b w:val="false"/>
                <w:color w:val="000000"/>
                <w:sz w:val="10"/>
              </w:rPr>
              <w:t>(12)</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NewQuest II</w:t>
            </w:r>
            <w:r>
              <w:rPr>
                <w:rFonts w:ascii="Times New Roman;serif" w:hAnsi="Times New Roman;serif"/>
                <w:b w:val="false"/>
                <w:color w:val="000000"/>
                <w:sz w:val="10"/>
              </w:rPr>
              <w:t>(12)</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NewQuest III</w:t>
            </w:r>
            <w:r>
              <w:rPr>
                <w:rFonts w:ascii="Times New Roman;serif" w:hAnsi="Times New Roman;serif"/>
                <w:b w:val="false"/>
                <w:color w:val="000000"/>
                <w:sz w:val="10"/>
              </w:rPr>
              <w:t>(12)</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NewQuest IV</w:t>
            </w:r>
            <w:r>
              <w:rPr>
                <w:rFonts w:ascii="Times New Roman;serif" w:hAnsi="Times New Roman;serif"/>
                <w:b w:val="false"/>
                <w:color w:val="000000"/>
                <w:sz w:val="10"/>
              </w:rPr>
              <w:t>(12)</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r>
      <w:tr>
        <w:trPr/>
        <w:tc>
          <w:tcPr>
            <w:tcW w:w="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NewQuest V</w:t>
            </w:r>
            <w:r>
              <w:rPr>
                <w:rFonts w:ascii="Times New Roman;serif" w:hAnsi="Times New Roman;serif"/>
                <w:b w:val="false"/>
                <w:color w:val="000000"/>
                <w:sz w:val="10"/>
              </w:rPr>
              <w:t>(12)</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1.3x</w:t>
            </w:r>
          </w:p>
        </w:tc>
      </w:tr>
      <w:tr>
        <w:trPr/>
        <w:tc>
          <w:tcPr>
            <w:tcW w:w="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NewQuest Funds</w:t>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2,930 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2,708 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2,154 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32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1.4x</w:t>
            </w:r>
          </w:p>
        </w:tc>
      </w:tr>
    </w:tbl>
    <w:p>
      <w:pPr>
        <w:pStyle w:val="TextBody"/>
        <w:bidi w:val="0"/>
        <w:spacing w:lineRule="auto" w:line="288" w:before="24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performance of our significant perpetual funds as of June 30, 2026 ($ in millions):</w:t>
      </w:r>
    </w:p>
    <w:tbl>
      <w:tblPr>
        <w:tblW w:w="6879" w:type="dxa"/>
        <w:jc w:val="center"/>
        <w:tblInd w:w="0" w:type="dxa"/>
        <w:tblLayout w:type="fixed"/>
        <w:tblCellMar>
          <w:top w:w="28" w:type="dxa"/>
          <w:left w:w="28" w:type="dxa"/>
          <w:bottom w:w="28" w:type="dxa"/>
          <w:right w:w="28" w:type="dxa"/>
        </w:tblCellMar>
      </w:tblPr>
      <w:tblGrid>
        <w:gridCol w:w="918"/>
        <w:gridCol w:w="804"/>
        <w:gridCol w:w="812"/>
        <w:gridCol w:w="109"/>
        <w:gridCol w:w="109"/>
        <w:gridCol w:w="109"/>
        <w:gridCol w:w="424"/>
        <w:gridCol w:w="424"/>
        <w:gridCol w:w="426"/>
        <w:gridCol w:w="109"/>
        <w:gridCol w:w="109"/>
        <w:gridCol w:w="109"/>
        <w:gridCol w:w="196"/>
        <w:gridCol w:w="421"/>
        <w:gridCol w:w="109"/>
        <w:gridCol w:w="109"/>
        <w:gridCol w:w="109"/>
        <w:gridCol w:w="109"/>
        <w:gridCol w:w="285"/>
        <w:gridCol w:w="285"/>
        <w:gridCol w:w="794"/>
      </w:tblGrid>
      <w:tr>
        <w:trPr/>
        <w:tc>
          <w:tcPr>
            <w:tcW w:w="91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Vintage Year</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Return</w:t>
            </w:r>
            <w:r>
              <w:rPr>
                <w:rFonts w:ascii="Times New Roman;serif" w:hAnsi="Times New Roman;serif"/>
                <w:b/>
                <w:color w:val="000000"/>
                <w:sz w:val="12"/>
              </w:rPr>
              <w:t>(10)</w:t>
            </w:r>
          </w:p>
        </w:tc>
      </w:tr>
      <w:tr>
        <w:trPr/>
        <w:tc>
          <w:tcPr>
            <w:tcW w:w="2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Platform: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TPG Credit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Credit Opportunities</w:t>
            </w:r>
            <w:r>
              <w:rPr>
                <w:rFonts w:ascii="Times New Roman;serif" w:hAnsi="Times New Roman;serif"/>
                <w:b w:val="false"/>
                <w:color w:val="000000"/>
                <w:sz w:val="12"/>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Essential Housing Evergreen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TPG Asset Based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MVP Fund</w:t>
            </w:r>
            <w:r>
              <w:rPr>
                <w:rFonts w:ascii="Times New Roman;serif" w:hAnsi="Times New Roman;serif"/>
                <w:b w:val="false"/>
                <w:color w:val="000000"/>
                <w:sz w:val="12"/>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ABC Evergreen</w:t>
            </w:r>
            <w:r>
              <w:rPr>
                <w:rFonts w:ascii="Times New Roman;serif" w:hAnsi="Times New Roman;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TPG Direct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TCAP</w:t>
            </w:r>
            <w:r>
              <w:rPr>
                <w:rFonts w:ascii="Times New Roman;serif" w:hAnsi="Times New Roman;serif"/>
                <w:b w:val="false"/>
                <w:color w:val="000000"/>
                <w:sz w:val="12"/>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MMDL Evergreen</w:t>
            </w:r>
            <w:r>
              <w:rPr>
                <w:rFonts w:ascii="Times New Roman;serif" w:hAnsi="Times New Roman;serif"/>
                <w:b w:val="false"/>
                <w:color w:val="000000"/>
                <w:sz w:val="12"/>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TPG Advantage Direct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TPG Multi-Asset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Dynamic Credit Income Fund</w:t>
            </w:r>
            <w:r>
              <w:rPr>
                <w:rFonts w:ascii="Times New Roman;serif" w:hAnsi="Times New Roman;serif"/>
                <w:b w:val="false"/>
                <w:color w:val="000000"/>
                <w:sz w:val="12"/>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Platform: Market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T-POP</w:t>
            </w:r>
            <w:r>
              <w:rPr>
                <w:rFonts w:ascii="Times New Roman;serif" w:hAnsi="Times New Roman;serif"/>
                <w:b w:val="false"/>
                <w:color w:val="000000"/>
                <w:sz w:val="12"/>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333"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Note:</w:t>
      </w:r>
    </w:p>
    <w:p>
      <w:pPr>
        <w:pStyle w:val="TextBody"/>
        <w:bidi w:val="0"/>
        <w:spacing w:lineRule="auto" w:line="288" w:before="60" w:after="283"/>
        <w:ind w:left="0" w:right="0" w:firstLine="540"/>
        <w:jc w:val="both"/>
        <w:rPr>
          <w:rFonts w:ascii="Times New Roman;serif" w:hAnsi="Times New Roman;serif"/>
          <w:b w:val="false"/>
          <w:color w:val="000000"/>
          <w:sz w:val="16"/>
        </w:rPr>
      </w:pPr>
      <w:r>
        <w:rPr>
          <w:rFonts w:ascii="Times New Roman;serif" w:hAnsi="Times New Roman;serif"/>
          <w:b w:val="false"/>
          <w:color w:val="000000"/>
          <w:sz w:val="16"/>
        </w:rPr>
        <w:t xml:space="preserve">Past performance is not indicative of future results. </w:t>
      </w:r>
    </w:p>
    <w:p>
      <w:pPr>
        <w:pStyle w:val="TextBody"/>
        <w:bidi w:val="0"/>
        <w:spacing w:lineRule="auto" w:line="288" w:before="60" w:after="283"/>
        <w:jc w:val="both"/>
        <w:rPr>
          <w:color w:val="000000"/>
        </w:rPr>
      </w:pPr>
      <w:r>
        <w:rPr>
          <w:color w:val="000000"/>
        </w:rPr>
        <w:t>“</w:t>
      </w:r>
      <w:r>
        <w:rPr>
          <w:rFonts w:ascii="Times New Roman;serif" w:hAnsi="Times New Roman;serif"/>
          <w:b w:val="false"/>
          <w:color w:val="000000"/>
          <w:sz w:val="16"/>
        </w:rPr>
        <w:t>NM” signifies that the relevant data would not be meaningful. Performance metrics are generally deemed “NM” when, among other reasons, there has been limited time since initial investment.</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Amounts shown are in U.S. dollars. </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(2)Capital Committed represents the amount of inception-to-date commitments a particular fund has received. Certain of our newer vintage funds are actively fundraising and capital committed is subject to change.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(5)Unrealized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(6)Total Value is the sum of Realized Value and Unrealized Value of investments.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(7)Gross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(8)Net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(9)Net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(10)Total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(11)The Rise Climate Global South Fund excludes a $500 million commitment ($473 million of which was closed as of June 30, 2026) from ALTÉRRA Transformation LP made to a separate vehicle for purposes of deploying catalytic capital in connection with investments located in the Global South made by the Rise Climate II Fund and the Rise Climate Global South Fund.</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(12)Unless otherwise specified, the fund performance information presented above for certain funds is, due to the nature of their strategy, as of March 31, 2026.</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(13)Each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(14)Japanese-Yen denominated fund. Commitments, Capital Invested and Realized Value are calculated using the exchange rate at the end of the quarter in which the relevant commitment was made or transaction occurred, as applicable.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(15)Includes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(4%) and 0.9x and (ii) for the euro-denominated vehicle of Europe Realty IV, 2% and 1.0x </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(16)Total Return includes onshore investors participating directly through the master fund and investors through the offshore vehicle. Total Return for the offshore vehicle was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(17)Total Returns for onshore funds only. Total Returns for the offshore vehicles were: (i) for the MVP Fund, 11%, (ii) for ABC Evergreen, 20%, (iii) for MMDL Offshore Evergreen, 9%, and (iv) for Dynamic Credit Income Fund (formerly Super Fund), 8%. MMDL Lux Offshore was recently launched and does not yet have a meaningful Total Return.</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(18)Total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w:t>
      </w:r>
    </w:p>
    <w:p>
      <w:pPr>
        <w:pStyle w:val="TextBody"/>
        <w:bidi w:val="0"/>
        <w:spacing w:lineRule="auto" w:line="276"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(19)T-POP blended Total Return reflects a per unit return based on Class I and Class R-I, including reinvestment of any dividends received during the period (if applicable), and no upfront selling commission, net of all fees and expenses incurred by T-POP. Blended Total Return for Class S and R-S is 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twelve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total liquidity was $2,899.7 million, comprised of $944.7 million of cash and cash equivalents, excluding $13.2 million of restricted cash, as well as $1,625.0 million, $30.0 million and $300.0 million of incremental borrowing capacity under the Senior Unsecured Revolving Credit Facility, Subordinated Credit Facility and 364-Day Credit Facility, respectively. Total cash of $957.8 million as of June 30, 2026 includes $191.9 million of cash that is attributable to the TPG Operating Group and on balance sheet securitization vehicles.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multiple sources of liquidity to meet our capital needs, including:</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cash generated by our operating activities, such as management fees, monitoring, transaction and other fees, realized capital allocation-based income and investment sales from our consolidated funds;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cash received from investing activities, including amounts received from notes receivable from affiliates; and</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cash received from our financing activities, including cash and funds available under our credit facilities.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consolidated cash, cash equivalents and restricted cash totaled approximately $957.8 million at June 30, 2026.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Credit Facilities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Unsecured Revolving Credit Facility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2011, TPG Holdings, L.P. entered into a $400.0 million credit facility. As of June 30, 2026, the Senior Unsecured Revolving Credit Facility, as currently amended, had aggregate revolving commitments of $1.75 billion and a maturity date of May 30, 2030.</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We are also required to pay a quarterly commitment fee on the unused commitments under the Senior Unsecured Revolving Credit Facility not to exceed 0.15% per annum, as well as certain customary fees for any issued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Notes Issuer has issued Senior Notes, on which interest is payable semi-annually, as discussed below. The Senior Notes will mature on the maturity dates discussed below, unless earlier accelerated, redeemed or repurchased. The Senior Notes are fully and unconditionally guaranteed, jointly and severally, by each of the Guarantors, and are unsecured and unsubordinated obligations of the Notes Issuer and the Guarantors. The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2031 Senior Notes:</w:t>
      </w:r>
      <w:r>
        <w:rPr>
          <w:color w:val="000000"/>
        </w:rPr>
        <w:t xml:space="preserve"> </w:t>
      </w:r>
      <w:r>
        <w:rPr>
          <w:rFonts w:ascii="Times New Roman;serif" w:hAnsi="Times New Roman;serif"/>
          <w:b w:val="false"/>
          <w:color w:val="000000"/>
          <w:sz w:val="20"/>
        </w:rPr>
        <w:t>On February 26, 2026, the Notes Issuer issued in an SEC-registered offering $500.0 million aggregate principal amount of Senior Notes due 2031. The 2031 Senior Notes bear interest at a rate of 4.875% per annum, which is payable semiannually in arrears on May 15 and November 15 of each year, beginning on November 15, 2026.</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2036 Senior Notes</w:t>
      </w:r>
      <w:r>
        <w:rPr>
          <w:rFonts w:ascii="Times New Roman;serif" w:hAnsi="Times New Roman;serif"/>
          <w:b w:val="false"/>
          <w:color w:val="000000"/>
          <w:sz w:val="20"/>
        </w:rPr>
        <w:t>: On August 14, 2025, the Notes Issuer issued in an SEC-registered offering $500.0 million aggregate principal amount of Senior Notes due 2036. The 2036 Senior Notes bear interest at a rate of 5.375% per annum, which is payable semi-annually in arrears on January 15 and July 15 of each year, beginning on January 15, 2026.</w:t>
      </w:r>
    </w:p>
    <w:p>
      <w:pPr>
        <w:pStyle w:val="TextBody"/>
        <w:bidi w:val="0"/>
        <w:spacing w:lineRule="auto" w:line="288" w:before="240" w:after="283"/>
        <w:ind w:left="0" w:right="0" w:firstLine="540"/>
        <w:jc w:val="both"/>
        <w:rPr/>
      </w:pPr>
      <w:r>
        <w:rPr>
          <w:rFonts w:ascii="Times New Roman;serif" w:hAnsi="Times New Roman;serif"/>
          <w:b w:val="false"/>
          <w:i/>
          <w:color w:val="000000"/>
          <w:sz w:val="20"/>
        </w:rPr>
        <w:t>2034 Senior Notes</w:t>
      </w:r>
      <w:r>
        <w:rPr>
          <w:rFonts w:ascii="Times New Roman;serif" w:hAnsi="Times New Roman;serif"/>
          <w:b w:val="false"/>
          <w:color w:val="000000"/>
          <w:sz w:val="20"/>
        </w:rPr>
        <w:t>: On March 5, 2024, the Notes Issuer issued in an SEC-registered offering $600.0 million aggregate principal amount of Senior Notes due 2034. The 2034 Senior Notes bear interest at a rate of 5.875% per annum, which is payable semi-annually in arrears on March 5 and September 5 of each year, beginning on September 5,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payment of the principal of, premium, if any, and interest on the Senior Notes and the payment of any Senior Notes guarantee will: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rank equally in right of payment with all existing and future unsecured and unsubordinated indebtedness, liabilities and other obligations of the Notes Issuer or the relevant Guarantor, including indebtedness under the Amended Senior Unsecured Revolving Credit Facility;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rank senior in right of payment to all existing and future subordinated indebtedness, liabilities and other obligations of the Notes Issuer or the relevant Guarantor;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effectively subordinated to all existing and future secured indebtedness of the Notes Issuer or the relevant Guarantor, to the extent of the value of the assets securing such indebtedness;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effectively subordinated in right of payment to all existing and future indebtedness, liabilities and other obligations of each subsidiary of the Issuer or the relevant Guarantor that is not itself the Notes Issuer or a Guarantor.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Subordinated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4, 2024, the Notes Issuer issued in an SEC-registered offering $400.0 million aggregate principal amount of Fixed-Rate Junior Subordinated Notes due 2064. The Subordinated Notes bear interest at a rate of 6.950% per annum, which is payable quarterly in arrears on March 15, June 15, September 15 and December 15 of each year, beginning on June 15, 2024, subject to the Notes Issuer’s right, on one or more occasions, to defer interest payments for up to five consecutive years. The Subordinated Notes are unsecured, subordinated, and fully guaranteed by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payment of the principal of, premium, if any, and interest on the Subordinated Notes and the payment of any Subordinated Notes guarantee will: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subordinate and rank junior in right of payment to all existing and future senior indebtedness, including indebtedness under the Senior Unsecured Revolving Credit Facility;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rank equally in right of payment with all existing and future parity indebtedness;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effectively subordinated to all existing and future secured indebtedness of the Notes Issuer or the relevant Guarantor, to the extent of the value of the assets securing such indebtedness;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Secured Notes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$250.0 million aggregate principal amount of Secured Notes outstanding. Issued through on-balance sheet securitization vehicles, these Secured Notes are repaid solely from collections on underlying equity method investments and restricted cash. The Secured Notes consist of two tranches, both of which mature in June 2038, with interest payable semiannually: (i) Tranche A Secured Notes, issued in May 2018 at a fixed rate of 5.33%, with an aggregate principal balance of $200.0 million and (ii) Tranche B Secured Notes, issued in October 2019 at a fixed rate of 4.75%, with an aggregate principal balance of $50.0 million. The Secured Notes contain an optional redemption feature giving us the right to call the notes in full or in part. If the Secured Notes are not redeemed by June 20, 2028, the interest rate will increase by 4.00% per annum.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Secured Notes contain customary covenants and conditions, including negative pledge provisions, default provisions and financial covenants and limitations on certain consolidations, mergers and sales of assets. As of June 30, 2026, we were in compliance with these covenants and conditions.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Subordinated 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2014, one of our consolidated subsidiaries entered into two subordinated revolving credit facilities with a total commitment of $30.0 million. The Subordinated Credit Facility is guaranteed by certain members of TPG Operating Group. In August 2025, the subsidiary extended the Subordinated Credit Facility's maturity date from August 2026 to August 2027. Borrowings bear interest at Term Secured Overnight Financing Rate (“SOFR”) plus a 0.10% per annum adjustment and 2.25%.</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subsidiary did not borrow or make repayments on the Subordinated Credit Facility, resulting in no amounts outstanding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364-Day Credit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14, 2023, a consolidated subsidiary of the Company entered into a 364-day revolving credit facility with Mizuho Bank, Ltd., acting as administrative agent, to provide the subsidiary with revolving borrowings of up to $150.0 million. As currently amended, the 364-Day Credit Facility has revolving commitments in an aggregate principal amount of $300.0 million, with a maturity date of April 7, 2027. Borrowings under the 364-Day Credit Facility bear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loan term. Term Benchmark loans may be denominated in U.S. Dollars or Euros, and are subject to a fixed interest rate based on SOFR for a period comparable to the term of the loan in effect two business days prior to the date of borrowing, plus an applicable margin of between 2.00% and 3.00% depending on the loan term. Risk-Free Rate (“RFR”) loans are denominated in Sterling and subject to a fixed interest rate computed daily as the Sterling Overnight Index Average (“SONIA”) in effect five business days prior to the date of borrowing, plus an applicable margin of between 2.00% and 3.00%, depending on the loan term. The subsidiary is also required to pay a quarterly facility fee equal to 0.30% per annum of the $300.0 million total facility capacity, as well as certain customary fees for any issued loans.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facility, the Company entered into an equity commitment letter, committing to provide capital contributions, if and when required, to the subsidiary throughout the life of the facility.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subsidiary borrowed $116.0 million and made repayments of $116.0 million on the 364-Day Credit Facility, resulting in no amounts outstanding as of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Our Liquidity Needs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primary liquidity needs include cash required to: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support our working capital needs;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fund cash operating expenses, including compensation and contingencies, including for clawback obligations or litigation matters;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service debt obligations, including the payment of obligations at maturity, on interest payment dates or upon redemption, as well as any contingent liabilities that may give rise to future cash payments;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pay amounts that may become due under the Tax Receivable Agreement;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pay earnouts and contingent cash consideration associated with our acquisitions;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pay cash dividends in accordance with our dividend policy for our Class A common stock;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warehouse investments or seed portfolios for the benefit of one or more of our funds or other investment vehicles pending the expected contribution of committed capital by the investors in such vehicles and advance capital to them for other operational needs;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manage risk retention for CLOs;</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address capital needs of regulated and other subsidiaries, including our broker-dealer;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 xml:space="preserve">settle tax withholding obligations in connection with net share settlements of equity-based awards; and </w:t>
      </w:r>
    </w:p>
    <w:p>
      <w:pPr>
        <w:pStyle w:val="TextBody"/>
        <w:bidi w:val="0"/>
        <w:spacing w:lineRule="auto" w:line="288" w:before="240" w:after="283"/>
        <w:ind w:left="0" w:right="0" w:hanging="540"/>
        <w:jc w:val="both"/>
        <w:rPr/>
      </w:pPr>
      <w:r>
        <w:rPr>
          <w:color w:val="000000"/>
        </w:rPr>
        <w:t>•</w:t>
      </w:r>
      <w:r>
        <w:rPr>
          <w:rFonts w:ascii="Times New Roman;serif" w:hAnsi="Times New Roman;serif"/>
          <w:b w:val="false"/>
          <w:color w:val="000000"/>
          <w:sz w:val="20"/>
        </w:rPr>
        <w:t>exchange Common Units pursuant to the Exchange Agreement or repurchase or redeem other securities issued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 xml:space="preserve">Contractual Obligations </w:t>
      </w:r>
    </w:p>
    <w:p>
      <w:pPr>
        <w:pStyle w:val="TextBody"/>
        <w:bidi w:val="0"/>
        <w:spacing w:lineRule="auto" w:line="288"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contractual arrangements that require future cash payments. The following table sets forth information regarding our anticipated future cash payments under our contractual obligations as of June 30, 2026 (in thousands): </w:t>
      </w:r>
    </w:p>
    <w:tbl>
      <w:tblPr>
        <w:tblW w:w="11590" w:type="dxa"/>
        <w:jc w:val="center"/>
        <w:tblInd w:w="0" w:type="dxa"/>
        <w:tblLayout w:type="fixed"/>
        <w:tblCellMar>
          <w:top w:w="28" w:type="dxa"/>
          <w:left w:w="28" w:type="dxa"/>
          <w:bottom w:w="28" w:type="dxa"/>
          <w:right w:w="28" w:type="dxa"/>
        </w:tblCellMar>
      </w:tblPr>
      <w:tblGrid>
        <w:gridCol w:w="562"/>
        <w:gridCol w:w="349"/>
        <w:gridCol w:w="350"/>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2031 and Thereafter</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obligations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debt obligations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commitments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agreements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contractual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(1)Debt obligations presented in the table reflect scheduled principal payments related to the Secured Notes, 2034 Senior Notes, 2036 Senior Notes, 2031 Senior Notes, Subordinated Notes and Senior Unsecured Revolving Credit Facility.</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(2)Estimated interest payments on our debt obligations include estimated future interest payments based on the terms of the debt agreements. See Note 8 to the Condensed Consolidated Financial Statements for further discussion of these debt obligations.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(3)Capital commitments represent our obligations to provide general partner capital funding to the TPG funds. These amounts are generally due on demand, and accordingly, have been presented as obligations payable in the “2026” column. We generally utilize proceeds from return of capital distributions and proceeds from our Secured Notes to help fund these commitments.</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(4)Net of tenant improvement allowances. Operating lease cash flows for 2026 include a net inflow resulting from expected tenant improvement allowance receipts.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Additional Contingent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if all investments held by the TPG funds were liquidated at their current unrealized fair value, there would be clawback of $6.8 million and $7.9 million, respectively, primarily related to Asia V, for which a performance allocation reserve was recorded within other liabilities in the Condensed Consolidated Statements of Financial Condition. During the six months ended June 30, 2026, the general partners made no payments on the clawback liability. Additionally, if all remaining investments were deemed worthless, a possibility management views as remote, the amount of performance allocations subject to potential clawback as of June 30, 2026 and December 31, 2025 would be $2,635.8 million and $2,456.5 million, respectively.</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guarantees outstanding totaling $115.2 million and $168.4 million, respectively, related to a third-party lending program that enables certain of our eligible employees to obtain financing for capital contributions into TPG funds with a maximum potential exposure of $376.0 million and $348.7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the quarterly dividends on the Class A common stock, which were made at the sole discretion of our Executive Committee and Board of Directors.</w:t>
      </w:r>
    </w:p>
    <w:tbl>
      <w:tblPr>
        <w:tblW w:w="10205" w:type="dxa"/>
        <w:jc w:val="left"/>
        <w:tblInd w:w="0" w:type="dxa"/>
        <w:tblLayout w:type="fixed"/>
        <w:tblCellMar>
          <w:top w:w="28" w:type="dxa"/>
          <w:left w:w="28" w:type="dxa"/>
          <w:bottom w:w="28" w:type="dxa"/>
          <w:right w:w="28" w:type="dxa"/>
        </w:tblCellMar>
      </w:tblPr>
      <w:tblGrid>
        <w:gridCol w:w="1260"/>
        <w:gridCol w:w="1083"/>
        <w:gridCol w:w="1089"/>
        <w:gridCol w:w="109"/>
        <w:gridCol w:w="109"/>
        <w:gridCol w:w="109"/>
        <w:gridCol w:w="554"/>
        <w:gridCol w:w="514"/>
        <w:gridCol w:w="512"/>
        <w:gridCol w:w="109"/>
        <w:gridCol w:w="109"/>
        <w:gridCol w:w="109"/>
        <w:gridCol w:w="514"/>
        <w:gridCol w:w="500"/>
        <w:gridCol w:w="495"/>
        <w:gridCol w:w="109"/>
        <w:gridCol w:w="109"/>
        <w:gridCol w:w="109"/>
        <w:gridCol w:w="1197"/>
        <w:gridCol w:w="622"/>
        <w:gridCol w:w="884"/>
      </w:tblGrid>
      <w:tr>
        <w:trPr/>
        <w:tc>
          <w:tcPr>
            <w:tcW w:w="126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Class A Common Share</w:t>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3" w:type="dxa"/>
            <w:gridSpan w:val="3"/>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2025 Dividend Year (through Q4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2026 Dividend Year (through 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For the periods ended June 30, 2026 and December 31, 2025, the following Common Units were exchanged for Class A common stock:</w:t>
      </w:r>
    </w:p>
    <w:p>
      <w:pPr>
        <w:pStyle w:val="TextBody"/>
        <w:bidi w:val="0"/>
        <w:spacing w:before="0" w:after="0"/>
        <w:jc w:val="left"/>
        <w:rPr/>
      </w:pPr>
      <w:r>
        <w:rPr/>
      </w:r>
    </w:p>
    <w:tbl>
      <w:tblPr>
        <w:tblW w:w="4540" w:type="dxa"/>
        <w:jc w:val="left"/>
        <w:tblInd w:w="0" w:type="dxa"/>
        <w:tblLayout w:type="fixed"/>
        <w:tblCellMar>
          <w:top w:w="28" w:type="dxa"/>
          <w:left w:w="28" w:type="dxa"/>
          <w:bottom w:w="28" w:type="dxa"/>
          <w:right w:w="28" w:type="dxa"/>
        </w:tblCellMar>
      </w:tblPr>
      <w:tblGrid>
        <w:gridCol w:w="602"/>
        <w:gridCol w:w="529"/>
        <w:gridCol w:w="533"/>
        <w:gridCol w:w="109"/>
        <w:gridCol w:w="109"/>
        <w:gridCol w:w="109"/>
        <w:gridCol w:w="746"/>
        <w:gridCol w:w="746"/>
        <w:gridCol w:w="1057"/>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18"/>
              </w:rPr>
            </w:pPr>
            <w:r>
              <w:rPr>
                <w:rFonts w:ascii="Times New Roman;serif" w:hAnsi="Times New Roman;serif"/>
                <w:b/>
                <w:color w:val="000000"/>
                <w:sz w:val="18"/>
              </w:rPr>
              <w:t>Class A Common Stock Issued</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2025 Exchanges</w:t>
            </w:r>
            <w:r>
              <w:rPr>
                <w:rFonts w:ascii="Times New Roman;serif" w:hAnsi="Times New Roman;serif"/>
                <w:b/>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9,786,354</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21,000,000</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5,153,040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2026 Exchange</w:t>
            </w:r>
            <w:r>
              <w:rPr>
                <w:rFonts w:ascii="Times New Roman;serif" w:hAnsi="Times New Roman;serif"/>
                <w:b/>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6,042,619</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(a)The issuances of shares of Class A common stock to such holders of Common Units were registered pursuant to the Company’s registration statements on Form S-3 filed on November 2, 2023 and September 13,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exchanges resulted in an increase in the tax basis of our investment in the TPG Operating Group and are subject to the Tax Receivable Agreement. During the six months ended June 30, 2026, the Company made payments of $29.9 million in connection with the liability associated with the Tax Receivable Agreement. A portion of this liability is attributed to Related Parties and is recorded in due to affiliates and the remaining portion attributable to non-affiliates is recorded in other liabilities. As of June 30, 2026 and December 31, 2025, the portion included in due to affiliates in the Condensed Consolidated Statements of Financial Condition, was $508.0 million and $495.1 million, respectively. As of June 30, 2026 and December 31, 2025, amounts due to non-affiliates included in other liabilities were $340.2 million and $316.5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Cash Flows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 for the periods presented:</w:t>
      </w:r>
    </w:p>
    <w:tbl>
      <w:tblPr>
        <w:tblW w:w="8252" w:type="dxa"/>
        <w:jc w:val="center"/>
        <w:tblInd w:w="0" w:type="dxa"/>
        <w:tblLayout w:type="fixed"/>
        <w:tblCellMar>
          <w:top w:w="28" w:type="dxa"/>
          <w:left w:w="28" w:type="dxa"/>
          <w:bottom w:w="28" w:type="dxa"/>
          <w:right w:w="28" w:type="dxa"/>
        </w:tblCellMar>
      </w:tblPr>
      <w:tblGrid>
        <w:gridCol w:w="1889"/>
        <w:gridCol w:w="1664"/>
        <w:gridCol w:w="1667"/>
        <w:gridCol w:w="211"/>
        <w:gridCol w:w="826"/>
        <w:gridCol w:w="109"/>
        <w:gridCol w:w="109"/>
        <w:gridCol w:w="109"/>
        <w:gridCol w:w="109"/>
        <w:gridCol w:w="211"/>
        <w:gridCol w:w="976"/>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$524.2 million and $584.1 million for the six months ended June 30, 2026 and 2025, respectively. Key drivers consisted of performance allocation and investment proceeds totaling $1,001.6 million, partially offset by purchases of investments of $588.3 million, as well as other changes in operating assets and liabilities during the six months ended June 30, 2026. Cash provided by operating activities consisted of performance allocation and investment proceeds totaling $1,041.2 million, partially offset by other changes in operating assets and liabilities for the six months ended June 30,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totaled $535.7 million and $9.4 million during the six months ended June 30, 2026 and 2025, respectively. Cash used in investing activities was primarily related to the purchase of Jackson common stock as described in Note 4 to the Condensed Consolidated Financial Statements and purchases of fixed assets. Cash used in investing activities during the six months ended June 30, 2025 was primarily related to the purchases of fixed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$130.8 million for the six months ended June 30, 2026, compared to net cash used in financing activities of $270.6 million for the six months ended June 30, 2025. During the six months ended June 30, 2026, cash provided by financing activities was primarily driven by the issuance of the 2031 Senior Notes in February 2026 and contributions from holders of non-controlling interests, partially offset by the payments of dividends and distributions to our Class A common stockholders and to holders of non-controlling interests in subsidiaries and withholding taxes paid on net settlement of equity-based awards. During the six months ended June 30, 2025, cash used by financing activities was primarily related to the payments of dividends and distributions to our Class A common stockholders and to holders of non-controlling interests in subsidiaries and withholding taxes paid on net settlement of equity-based awards, partially offset by the proceeds from the Senior Unsecured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Supplemental Guarantor Financial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Subordinated Notes issued by the Notes Issuer are guaranteed on a junior, unsecured basis by the Guarantors, and the Senior Notes issued by the Notes Issuer are guaranteed on a senior, unsecured basis by the Guarantors. As used herein, “Obligor Group” means the Notes Issuer and the Guarantors on a combined basis. The Guarantors fully and unconditionally guarantee payments of principal, premium, if any, and interest (i) on the Subordinated Notes on a subordinated, unsecured basis and (ii) on the Senior Notes on a senior, unsecured basis. See Note 8 of the Condensed Consolidated Financial Statements for further discussion on these debt obligations.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Obligor Group entities are holding companies in which the primary assets are the ownership interests in certain consolidated subsidiaries. Accordingly, the Obligor Group has no independent means of generating revenue or cash flow, and its ability to service its debt and guarantee obligations depends upon the results of operations and cash flows of its consolidated subsidiaries. As of June 30, 2026 and December 31, 2025, the Obligor Group held investments in its non-guarantor subsidiaries of $4.7 billion and $3.4 billion, respectively, and recognized income from investments in its non-guarantor subsidiaries of $0.7 billion for the six months ended June 30, 2026. In addition, in connection with any distribution by the consolidated subsidiaries, the Obligor Group would only receive its proportionate share of such distribution.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summarized financial information is provided in accordance with the reporting requirements of Rule 13-01 under SEC Regulation S-X for the Obligor Group and is not intended to present the financial position or results of operations of the Obligor Group in accordance with U.S. GAAP. The tables present summarized financial information of the Obligor Group on a combined basis after elimination of intercompany transactions and balances within the Obligor Group as of June 30, 2026 and December 31, 2025 and for the six months ended June 30, 2026. </w:t>
      </w:r>
    </w:p>
    <w:tbl>
      <w:tblPr>
        <w:tblW w:w="8596" w:type="dxa"/>
        <w:jc w:val="left"/>
        <w:tblInd w:w="0" w:type="dxa"/>
        <w:tblLayout w:type="fixed"/>
        <w:tblCellMar>
          <w:top w:w="28" w:type="dxa"/>
          <w:left w:w="28" w:type="dxa"/>
          <w:bottom w:w="28" w:type="dxa"/>
          <w:right w:w="28" w:type="dxa"/>
        </w:tblCellMar>
      </w:tblPr>
      <w:tblGrid>
        <w:gridCol w:w="1950"/>
        <w:gridCol w:w="1712"/>
        <w:gridCol w:w="1722"/>
        <w:gridCol w:w="211"/>
        <w:gridCol w:w="976"/>
        <w:gridCol w:w="109"/>
        <w:gridCol w:w="109"/>
        <w:gridCol w:w="109"/>
        <w:gridCol w:w="109"/>
        <w:gridCol w:w="250"/>
        <w:gridCol w:w="1157"/>
        <w:gridCol w:w="182"/>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916" w:type="dxa"/>
            <w:gridSpan w:val="6"/>
            <w:tcBorders/>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Obligor Group Assets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less receivables from non-guarantor subsidiaries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 excluding non-guarantor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non-guarantor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less payables to non-guarantor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1,964,844 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 excluding non-guarantor subsidiaries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non-guarantor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Obligor Group Assets and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(633,381)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91"/>
        <w:gridCol w:w="2455"/>
        <w:gridCol w:w="2460"/>
        <w:gridCol w:w="455"/>
        <w:gridCol w:w="1710"/>
        <w:gridCol w:w="334"/>
      </w:tblGrid>
      <w:tr>
        <w:trPr/>
        <w:tc>
          <w:tcPr>
            <w:tcW w:w="2791"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7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thousands)</w:t>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Obligor Group Revenues, Net Income (Loss) and Non-Controlling Interests</w:t>
            </w:r>
          </w:p>
        </w:tc>
        <w:tc>
          <w:tcPr>
            <w:tcW w:w="2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Obligor Group</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Obligor Group's revenues and expenses</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(101,559)</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associated with Obligor Group's revenues and expenses</w:t>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(40,228)</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entered into any off-balance sheet arrangements, as defined in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to our critical accounting estimates disclosed in our Annual Report. We prepare our Condensed Consolidated Financial Statements in accordance with U.S. GAAP. The preparation of financial statements in conformity with U.S.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 For a description of our accounting policies, see Note 2, “Summary of Significant Accounting Policies,” to the Condensed Consolidated Financial Statements included elsewhere in this report and for a discussion of our policies and estimates, see “Item 2.—Management’s Discussion and Analysis of Financial Condition and Results of Operation”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to market risks primarily relates to our role as investment advisor or general partner to our TPG funds and the impact of movements in the underlying fair value of their investments. Except for the item disclosed below, there was no material change in our market risks during the three months ended June 30, 2026. For additional information, refer to our Annual Report on Form 10-K for the year ended December 31, 2025. </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Through March 31, 2026, the functional currency of our international subsidiaries was the U.S. dollar. On April 1, 2026, we changed the functional currency of certain of our international subsidiaries from the U.S. dollar to the local currency. The change in the functional currency did not have a material impact on the Condensed Consolidated Financial Statements. See Note 2 of the Condensed Consolidated Financial Statements for further discussion on the change in functional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implemented a new enterprise resource planning (“ERP”) system. The new ERP replaced our previous ERP including our accounting system and general ledger. As a result of this implementation, we modified certain existing controls and implemented new controls and procedures related to the new ERP system to maintain appropriate internal control over financial reporting during and after the system change.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than the ERP implementation described above, 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in our Annual Report. We are not currently subject to any pending legal (including judicial, regulatory, administrative or arbitration) proceedings that we expect to have a material impact on our Condensed Consolidated Financial Statements. However, given the inherent unpredictability of these types of proceedings, an adverse outcome in certain matters could have a material effect on TPG’s financial results in any particular period. See Note 12, “Commitments and Contingencies,”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see the information under “Item 1A.––Risk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24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pStyle w:val="TextBody"/>
        <w:bidi w:val="0"/>
        <w:spacing w:before="24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list of all exhibits filed or furnished as part of this report: </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Exhibits are included below. </w:t>
      </w:r>
    </w:p>
    <w:tbl>
      <w:tblPr>
        <w:tblW w:w="10205" w:type="dxa"/>
        <w:jc w:val="center"/>
        <w:tblInd w:w="0" w:type="dxa"/>
        <w:tblLayout w:type="fixed"/>
        <w:tblCellMar>
          <w:top w:w="28" w:type="dxa"/>
          <w:left w:w="28" w:type="dxa"/>
          <w:bottom w:w="28" w:type="dxa"/>
          <w:right w:w="28" w:type="dxa"/>
        </w:tblCellMar>
      </w:tblPr>
      <w:tblGrid>
        <w:gridCol w:w="333"/>
        <w:gridCol w:w="293"/>
        <w:gridCol w:w="294"/>
        <w:gridCol w:w="109"/>
        <w:gridCol w:w="109"/>
        <w:gridCol w:w="109"/>
        <w:gridCol w:w="2669"/>
        <w:gridCol w:w="2590"/>
        <w:gridCol w:w="3699"/>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2">
              <w:r>
                <w:rPr>
                  <w:rStyle w:val="InternetLink"/>
                  <w:rFonts w:ascii="Times New Roman;serif" w:hAnsi="Times New Roman;serif"/>
                  <w:b w:val="false"/>
                  <w:color w:val="0000FF"/>
                  <w:sz w:val="20"/>
                  <w:u w:val="single"/>
                </w:rPr>
                <w:t>Restated Certificate of Incorporation of TPG Inc. (incorporated by reference to Exhibit 3.1 to the Company’s Current Report on Form 8-K, filed on November 13, 2023).</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3">
              <w:r>
                <w:rPr>
                  <w:rStyle w:val="InternetLink"/>
                  <w:rFonts w:ascii="Times New Roman;serif" w:hAnsi="Times New Roman;serif"/>
                  <w:b w:val="false"/>
                  <w:color w:val="0000FF"/>
                  <w:sz w:val="20"/>
                  <w:u w:val="single"/>
                </w:rPr>
                <w:t>Certificate of Amendment of Restated Certificate of Incorporation of TPG Inc. (incorporated by reference to Exhibit 3.1 to the Company’s Current Report on Form 8-K, filed on June 6, 2024).</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Amended and Restated Bylaws of TPG Inc. (incorporated by reference to Exhibit 3.2 to the Company’s Current Report on Form 8-K, filed on June 12, 2023).</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80"/>
                  <w:sz w:val="20"/>
                  <w:u w:val="single"/>
                </w:rPr>
                <w:t xml:space="preserve">List of Notes Issuer and Guarantor Subsidiaries, </w:t>
              </w:r>
            </w:hyperlink>
            <w:hyperlink r:id="rId6">
              <w:r>
                <w:rPr>
                  <w:rStyle w:val="InternetLink"/>
                  <w:rFonts w:ascii="Times New Roman;serif" w:hAnsi="Times New Roman;serif"/>
                  <w:b w:val="false"/>
                  <w:color w:val="000080"/>
                  <w:sz w:val="20"/>
                  <w:u w:val="single"/>
                </w:rPr>
                <w:t>Se</w:t>
              </w:r>
            </w:hyperlink>
            <w:hyperlink r:id="rId7">
              <w:r>
                <w:rPr>
                  <w:rStyle w:val="InternetLink"/>
                  <w:rFonts w:ascii="Times New Roman;serif" w:hAnsi="Times New Roman;serif"/>
                  <w:b w:val="false"/>
                  <w:color w:val="000080"/>
                  <w:sz w:val="20"/>
                  <w:u w:val="single"/>
                </w:rPr>
                <w:t>nior and Subordinated Notes</w:t>
              </w:r>
            </w:hyperlink>
            <w:hyperlink r:id="rId8">
              <w:r>
                <w:rPr>
                  <w:rStyle w:val="InternetLink"/>
                  <w:rFonts w:ascii="Times New Roman;serif" w:hAnsi="Times New Roman;serif"/>
                  <w:b w:val="false"/>
                  <w:color w:val="000080"/>
                  <w:sz w:val="20"/>
                  <w:u w:val="single"/>
                </w:rPr>
                <w:t xml:space="preserve"> (inc</w:t>
              </w:r>
            </w:hyperlink>
            <w:hyperlink r:id="rId9">
              <w:r>
                <w:rPr>
                  <w:rStyle w:val="InternetLink"/>
                  <w:rFonts w:ascii="Times New Roman;serif" w:hAnsi="Times New Roman;serif"/>
                  <w:b w:val="false"/>
                  <w:color w:val="000080"/>
                  <w:sz w:val="20"/>
                  <w:u w:val="single"/>
                </w:rPr>
                <w:t>orporated by reference to Exh</w:t>
              </w:r>
            </w:hyperlink>
            <w:hyperlink r:id="rId10">
              <w:r>
                <w:rPr>
                  <w:rStyle w:val="InternetLink"/>
                  <w:rFonts w:ascii="Times New Roman;serif" w:hAnsi="Times New Roman;serif"/>
                  <w:b w:val="false"/>
                  <w:color w:val="000080"/>
                  <w:sz w:val="20"/>
                  <w:u w:val="single"/>
                </w:rPr>
                <w:t>ibit 22.1 to the Company</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s Quarterly Report on Form 10-Q, filed on May 1, 2026)</w:t>
              </w:r>
            </w:hyperlink>
            <w:hyperlink r:id="rId13">
              <w:r>
                <w:rPr>
                  <w:rStyle w:val="InternetLink"/>
                  <w:rFonts w:ascii="Times New Roman;serif" w:hAnsi="Times New Roman;serif"/>
                  <w:b w:val="false"/>
                  <w:color w:val="000080"/>
                  <w:sz w:val="20"/>
                  <w:u w:val="single"/>
                </w:rPr>
                <w:t>.</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60630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60630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hyperlink w:anchor="a20260630ex321.htm">
              <w:r>
                <w:rPr>
                  <w:rStyle w:val="InternetLink"/>
                  <w:rFonts w:ascii="Times New Roman;serif" w:hAnsi="Times New Roman;serif"/>
                  <w:b w:val="false"/>
                  <w:color w:val="0000FF"/>
                  <w:sz w:val="20"/>
                  <w:u w:val="single"/>
                </w:rPr>
                <w:t>Certification of Chief Executive Officer of Periodic Financial Reports pursuant to Section 906 of the Sarbanes-Oxley Act of 2002, 18 U.S.C. Section 1350.</w:t>
              </w:r>
            </w:hyperlink>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pPr>
            <w:hyperlink w:anchor="a20260630ex322.htm">
              <w:r>
                <w:rPr>
                  <w:rStyle w:val="InternetLink"/>
                  <w:rFonts w:ascii="Times New Roman;serif" w:hAnsi="Times New Roman;serif"/>
                  <w:b w:val="false"/>
                  <w:color w:val="0000FF"/>
                  <w:sz w:val="20"/>
                  <w:u w:val="single"/>
                </w:rPr>
                <w:t>Certification of Chief Financial Officer of Periodic Financial Reports pursuant to Section 906 of the Sarbanes-Oxley Act of 2002, 18 U.S.C. Section 1350.</w:t>
              </w:r>
            </w:hyperlink>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60" w:after="283"/>
        <w:ind w:left="0" w:right="0" w:hanging="54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Incorporated by reference</w:t>
      </w:r>
    </w:p>
    <w:p>
      <w:pPr>
        <w:pStyle w:val="TextBody"/>
        <w:bidi w:val="0"/>
        <w:spacing w:before="60" w:after="283"/>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aa081727b9ae4a77ac136dcdf3ee03ef_7">
        <w:r>
          <w:rPr>
            <w:rStyle w:val="InternetLink"/>
            <w:rFonts w:ascii="Times New Roman;serif" w:hAnsi="Times New Roman;serif"/>
            <w:b w:val="false"/>
            <w:color w:val="000080"/>
            <w:sz w:val="20"/>
            <w:u w:val="single"/>
          </w:rPr>
          <w:t xml:space="preserve">Table of </w:t>
        </w:r>
      </w:hyperlink>
      <w:hyperlink w:anchor="iaa081727b9ae4a77ac136dcdf3ee03ef_7">
        <w:r>
          <w:rPr>
            <w:rStyle w:val="InternetLink"/>
            <w:rFonts w:ascii="Times New Roman;serif" w:hAnsi="Times New Roman;serif"/>
            <w:b w:val="false"/>
            <w:color w:val="000080"/>
            <w:sz w:val="20"/>
            <w:u w:val="single"/>
          </w:rPr>
          <w:t>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Date:</w:t>
      </w:r>
      <w:r>
        <w:rPr>
          <w:color w:val="000000"/>
        </w:rPr>
        <w:t xml:space="preserve"> </w:t>
      </w:r>
      <w:r>
        <w:rPr>
          <w:rFonts w:ascii="Times New Roman;serif" w:hAnsi="Times New Roman;serif"/>
          <w:b w:val="false"/>
          <w:color w:val="000000"/>
          <w:sz w:val="20"/>
        </w:rPr>
        <w:t>August 4, 2026</w:t>
      </w:r>
      <w:r>
        <w:rPr>
          <w:color w:val="000000"/>
        </w:rPr>
        <w:t xml:space="preserve"> </w:t>
      </w:r>
    </w:p>
    <w:tbl>
      <w:tblPr>
        <w:tblW w:w="6479" w:type="dxa"/>
        <w:jc w:val="right"/>
        <w:tblInd w:w="0" w:type="dxa"/>
        <w:tblLayout w:type="fixed"/>
        <w:tblCellMar>
          <w:top w:w="28" w:type="dxa"/>
          <w:left w:w="28" w:type="dxa"/>
          <w:bottom w:w="28" w:type="dxa"/>
          <w:right w:w="28" w:type="dxa"/>
        </w:tblCellMar>
      </w:tblPr>
      <w:tblGrid>
        <w:gridCol w:w="2069"/>
        <w:gridCol w:w="1821"/>
        <w:gridCol w:w="2589"/>
      </w:tblGrid>
      <w:tr>
        <w:trPr/>
        <w:tc>
          <w:tcPr>
            <w:tcW w:w="206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Axel André</w:t>
            </w:r>
          </w:p>
        </w:tc>
      </w:tr>
      <w:tr>
        <w:trPr/>
        <w:tc>
          <w:tcPr>
            <w:tcW w:w="64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Axel André</w:t>
            </w:r>
          </w:p>
        </w:tc>
      </w:tr>
      <w:tr>
        <w:trPr/>
        <w:tc>
          <w:tcPr>
            <w:tcW w:w="6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Authorized Signatory)</w:t>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Jon Winkelried, certify that: </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TPG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2084" w:type="dxa"/>
        <w:jc w:val="righ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Jon Winkelried</w:t>
            </w:r>
          </w:p>
        </w:tc>
      </w:tr>
      <w:tr>
        <w:trPr/>
        <w:tc>
          <w:tcPr>
            <w:tcW w:w="20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Jon Winkelried</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Axel André, certify that: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TPG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Axel André</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Axel André</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BY THE CHIEF EXECUTIVE OFFICER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TPG Inc. (the “Company”) for the quarter ended June 30, 2026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tbl>
      <w:tblPr>
        <w:tblW w:w="2084" w:type="dxa"/>
        <w:jc w:val="righ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Jon Winkelried</w:t>
            </w:r>
          </w:p>
        </w:tc>
      </w:tr>
      <w:tr>
        <w:trPr/>
        <w:tc>
          <w:tcPr>
            <w:tcW w:w="20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Jon Winkelried</w:t>
            </w:r>
          </w:p>
        </w:tc>
      </w:tr>
      <w:tr>
        <w:trPr/>
        <w:tc>
          <w:tcPr>
            <w:tcW w:w="208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OF THE SARBANES-OXLEY ACT OF 2002 </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TPG Inc. (the “Company”) for the quarter ended June 30, 2026 as filed with the Securities and Exchange Commission on the date hereof (the “Report”), I, Axel André, Chief Financial Officer of the Company, hereby certify, pursuant to 18 U.S.C. Section 1350, as adopted pursuant to Section 906 of the Sarbanes-Oxley Act of 2002, that to my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certificate is being furnished solely for the purposes of 18 U.S.C. Section 1350 and is not being filed as part of the Report or as a separate disclosure document.</w:t>
      </w:r>
    </w:p>
    <w:p>
      <w:pPr>
        <w:pStyle w:val="TextBody"/>
        <w:bidi w:val="0"/>
        <w:spacing w:before="0" w:after="0"/>
        <w:jc w:val="both"/>
        <w:rPr/>
      </w:pPr>
      <w:r>
        <w:rPr/>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tbl>
      <w:tblPr>
        <w:tblW w:w="2070" w:type="dxa"/>
        <w:jc w:val="right"/>
        <w:tblInd w:w="0" w:type="dxa"/>
        <w:tblLayout w:type="fixed"/>
        <w:tblCellMar>
          <w:top w:w="28" w:type="dxa"/>
          <w:left w:w="28" w:type="dxa"/>
          <w:bottom w:w="28" w:type="dxa"/>
          <w:right w:w="28" w:type="dxa"/>
        </w:tblCellMar>
      </w:tblPr>
      <w:tblGrid>
        <w:gridCol w:w="661"/>
        <w:gridCol w:w="582"/>
        <w:gridCol w:w="827"/>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Axel André</w:t>
            </w:r>
          </w:p>
        </w:tc>
      </w:tr>
      <w:tr>
        <w:trPr/>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Axel André</w:t>
            </w:r>
          </w:p>
        </w:tc>
      </w:tr>
      <w:tr>
        <w:trPr/>
        <w:tc>
          <w:tcPr>
            <w:tcW w:w="20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bl>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0661/000188066123000109/ex-31.htm" TargetMode="External"/><Relationship Id="rId3" Type="http://schemas.openxmlformats.org/officeDocument/2006/relationships/hyperlink" Target="https://www.sec.gov/Archives/edgar/data/1880661/000188066124000034/ex31-tpgincxcertificateofa.htm" TargetMode="External"/><Relationship Id="rId4" Type="http://schemas.openxmlformats.org/officeDocument/2006/relationships/hyperlink" Target="https://www.sec.gov/Archives/edgar/data/1880661/000119312523165304/d494929dex32.htm" TargetMode="External"/><Relationship Id="rId5" Type="http://schemas.openxmlformats.org/officeDocument/2006/relationships/hyperlink" Target="https://www.sec.gov/Archives/edgar/data/1880661/000188066126000033/a2026331ex221.htm" TargetMode="External"/><Relationship Id="rId6" Type="http://schemas.openxmlformats.org/officeDocument/2006/relationships/hyperlink" Target="https://www.sec.gov/Archives/edgar/data/1880661/000188066126000033/a2026331ex221.htm" TargetMode="External"/><Relationship Id="rId7" Type="http://schemas.openxmlformats.org/officeDocument/2006/relationships/hyperlink" Target="https://www.sec.gov/Archives/edgar/data/1880661/000188066126000033/a2026331ex221.htm" TargetMode="External"/><Relationship Id="rId8" Type="http://schemas.openxmlformats.org/officeDocument/2006/relationships/hyperlink" Target="https://www.sec.gov/Archives/edgar/data/1880661/000188066126000033/a2026331ex221.htm" TargetMode="External"/><Relationship Id="rId9" Type="http://schemas.openxmlformats.org/officeDocument/2006/relationships/hyperlink" Target="https://www.sec.gov/Archives/edgar/data/1880661/000188066126000033/a2026331ex221.htm" TargetMode="External"/><Relationship Id="rId10" Type="http://schemas.openxmlformats.org/officeDocument/2006/relationships/hyperlink" Target="https://www.sec.gov/Archives/edgar/data/1880661/000188066126000033/a2026331ex221.htm" TargetMode="External"/><Relationship Id="rId11" Type="http://schemas.openxmlformats.org/officeDocument/2006/relationships/hyperlink" Target="https://www.sec.gov/Archives/edgar/data/1880661/000188066126000033/a2026331ex221.htm" TargetMode="External"/><Relationship Id="rId12" Type="http://schemas.openxmlformats.org/officeDocument/2006/relationships/hyperlink" Target="https://www.sec.gov/Archives/edgar/data/1880661/000188066126000033/a2026331ex221.htm" TargetMode="External"/><Relationship Id="rId13" Type="http://schemas.openxmlformats.org/officeDocument/2006/relationships/hyperlink" Target="https://www.sec.gov/Archives/edgar/data/1880661/000188066126000033/a2026331ex22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56333</Words>
  <Characters>310229</Characters>
  <CharactersWithSpaces>362290</CharactersWithSpaces>
  <Paragraphs>7800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