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COULTER JAMES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84"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606"/>
        <w:gridCol w:w="276"/>
        <w:gridCol w:w="906"/>
        <w:gridCol w:w="801"/>
        <w:gridCol w:w="891"/>
        <w:gridCol w:w="681"/>
        <w:gridCol w:w="801"/>
        <w:gridCol w:w="1071"/>
        <w:gridCol w:w="831"/>
        <w:gridCol w:w="105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TPG Partner Holdings, 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Common Stock</w:t>
            </w:r>
            <w:r>
              <w:rPr>
                <w:rFonts w:ascii="Times;serif" w:hAnsi="Times;serif"/>
                <w:color w:val="008000"/>
                <w:position w:val="7"/>
                <w:sz w:val="16"/>
                <w:sz w:val="20"/>
                <w:shd w:fill="FFFFFF" w:val="clear"/>
              </w:rPr>
              <w:t>(2)</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35,644,619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Personal Investment Vehicles</w:t>
            </w:r>
            <w:r>
              <w:rPr>
                <w:rFonts w:ascii="Times;serif" w:hAnsi="Times;serif"/>
                <w:color w:val="008000"/>
                <w:position w:val="7"/>
                <w:sz w:val="16"/>
                <w:sz w:val="20"/>
                <w:shd w:fill="FFFFFF" w:val="clear"/>
              </w:rPr>
              <w:t>(3)(4)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5, 2026, 3,577 additional units ("TPH Units") of TPG Partner Holdings, L.P. ("Partner Holdings") were allocated automatically to the Reporting Person in accordance with Partner Holdings' limited partnership agreement upon their forfeiture by a former partner of Partner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Amended and Restated Exchange Agreement filed by TPG Inc. (the "Issuer") with the Securities and Exchange Commission (the "Commission") on November 2, 2023, TPH Units are ultimately exchangeable for cash or, at the Issuer's election, shares of Class A common stock of the Issuer on a one-for-one basis, subject to customary conversion rate adjustments and transfer restrictions (the "exchange consideration"). Upon an exchange of TPH Units, an equal number of Common Units of TPG Operating Group II, L.P. held by TPG Group Holdings (SBS), L.P. ("Group Holdings"), of which Partner Holdings is an indirect limited partner, are exchanged on a one-for-one basis for the exchange consideration, and an equal number of shares of Class B common stock of the Issuer also held by Group Holdings will be automatically cancelled for no additional consideration. Each share of Class B common stock entitles the holder to ten votes per share but carries no economic rights.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Because of the relationship between the Reporting Person and the entities holding these securities, the Reporting Person may be deemed to beneficially own these securities to the extent of the greater of the Reporting Person's direct or indirect pecuniary interest in the profits, capital accounts or distributions of the holder. The Reporting Person disclaims beneficial ownership of these securities, except to the extent of the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Rule 16a-1(a)(4) under the Securities Exchange Act of 1934, as amended (the "Exchange Act"), this filing shall not be deemed an admission that the Reporting Person is, for purposes of Section 16 of the Exchange Act or otherwise, the beneficial owner of any equity securities in excess of the Reporting Person's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Jennifer Chu is signing on behalf of Mr. Coulter pursuant to the power of attorney dated August 16, 2025, which was previously filed with the Commission.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99776"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935</Words>
  <Characters>5076</Characters>
  <CharactersWithSpaces>5934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