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7"/>
        <w:spacing w:after="0" w:line="207"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357" w:lineRule="exact"/>
        <w:rPr>
          <w:sz w:val="24"/>
          <w:szCs w:val="24"/>
          <w:color w:val="auto"/>
        </w:rPr>
      </w:pPr>
    </w:p>
    <w:p>
      <w:pPr>
        <w:ind w:left="5248"/>
        <w:spacing w:after="0"/>
        <w:rPr>
          <w:sz w:val="20"/>
          <w:szCs w:val="20"/>
          <w:color w:val="auto"/>
        </w:rPr>
      </w:pPr>
      <w:r>
        <w:rPr>
          <w:rFonts w:ascii="Times New Roman" w:cs="Times New Roman" w:eastAsia="Times New Roman" w:hAnsi="Times New Roman"/>
          <w:sz w:val="12"/>
          <w:szCs w:val="12"/>
          <w:b w:val="1"/>
          <w:bCs w:val="1"/>
          <w:color w:val="auto"/>
        </w:rPr>
        <w:t>Current Report</w:t>
      </w:r>
    </w:p>
    <w:p>
      <w:pPr>
        <w:ind w:left="4848"/>
        <w:spacing w:after="0" w:line="210" w:lineRule="auto"/>
        <w:rPr>
          <w:sz w:val="20"/>
          <w:szCs w:val="20"/>
          <w:color w:val="auto"/>
        </w:rPr>
      </w:pPr>
      <w:r>
        <w:rPr>
          <w:rFonts w:ascii="Times New Roman" w:cs="Times New Roman" w:eastAsia="Times New Roman" w:hAnsi="Times New Roman"/>
          <w:sz w:val="12"/>
          <w:szCs w:val="12"/>
          <w:b w:val="1"/>
          <w:bCs w:val="1"/>
          <w:color w:val="auto"/>
        </w:rPr>
        <w:t>Pursuant to Section 13 or 15(d)</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October 29, 2026</w:t>
      </w:r>
    </w:p>
    <w:p>
      <w:pPr>
        <w:spacing w:after="0" w:line="3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TPG Inc.</w:t>
      </w: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87" w:lineRule="exact"/>
        <w:rPr>
          <w:sz w:val="24"/>
          <w:szCs w:val="24"/>
          <w:color w:val="auto"/>
        </w:rPr>
      </w:pPr>
    </w:p>
    <w:tbl>
      <w:tblPr>
        <w:tblLayout w:type="fixed"/>
        <w:tblInd w:w="1388" w:type="dxa"/>
        <w:tblCellMar>
          <w:top w:w="0" w:type="dxa"/>
          <w:left w:w="0" w:type="dxa"/>
          <w:bottom w:w="0" w:type="dxa"/>
          <w:right w:w="0" w:type="dxa"/>
        </w:tblCellMar>
      </w:tblPr>
      <w:tr>
        <w:trPr>
          <w:trHeight w:val="157"/>
        </w:trPr>
        <w:tc>
          <w:tcPr>
            <w:tcW w:w="2260" w:type="dxa"/>
            <w:vAlign w:val="bottom"/>
          </w:tcPr>
          <w:p>
            <w:pPr>
              <w:jc w:val="center"/>
              <w:ind w:right="40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240" w:type="dxa"/>
            <w:vAlign w:val="bottom"/>
          </w:tcPr>
          <w:p>
            <w:pPr>
              <w:jc w:val="right"/>
              <w:ind w:right="1924"/>
              <w:spacing w:after="0"/>
              <w:rPr>
                <w:sz w:val="20"/>
                <w:szCs w:val="20"/>
                <w:color w:val="auto"/>
              </w:rPr>
            </w:pPr>
            <w:r>
              <w:rPr>
                <w:rFonts w:ascii="Times New Roman" w:cs="Times New Roman" w:eastAsia="Times New Roman" w:hAnsi="Times New Roman"/>
                <w:sz w:val="12"/>
                <w:szCs w:val="12"/>
                <w:b w:val="1"/>
                <w:bCs w:val="1"/>
                <w:color w:val="auto"/>
              </w:rPr>
              <w:t>001-41222</w:t>
            </w:r>
          </w:p>
        </w:tc>
        <w:tc>
          <w:tcPr>
            <w:tcW w:w="1560" w:type="dxa"/>
            <w:vAlign w:val="bottom"/>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87-2063362</w:t>
            </w:r>
          </w:p>
        </w:tc>
      </w:tr>
      <w:tr>
        <w:trPr>
          <w:trHeight w:val="110"/>
        </w:trPr>
        <w:tc>
          <w:tcPr>
            <w:tcW w:w="2260" w:type="dxa"/>
            <w:vAlign w:val="bottom"/>
          </w:tcPr>
          <w:p>
            <w:pPr>
              <w:jc w:val="center"/>
              <w:ind w:right="405"/>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(State or other jurisdiction</w:t>
            </w:r>
          </w:p>
        </w:tc>
        <w:tc>
          <w:tcPr>
            <w:tcW w:w="4240" w:type="dxa"/>
            <w:vAlign w:val="bottom"/>
          </w:tcPr>
          <w:p>
            <w:pPr>
              <w:jc w:val="center"/>
              <w:ind w:right="164"/>
              <w:spacing w:after="0" w:line="111" w:lineRule="exact"/>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1560" w:type="dxa"/>
            <w:vAlign w:val="bottom"/>
          </w:tcPr>
          <w:p>
            <w:pPr>
              <w:jc w:val="center"/>
              <w:ind w:left="645"/>
              <w:spacing w:after="0" w:line="111"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260" w:type="dxa"/>
            <w:vAlign w:val="bottom"/>
          </w:tcPr>
          <w:p>
            <w:pPr>
              <w:jc w:val="center"/>
              <w:ind w:right="405"/>
              <w:spacing w:after="0"/>
              <w:rPr>
                <w:sz w:val="20"/>
                <w:szCs w:val="20"/>
                <w:color w:val="auto"/>
              </w:rPr>
            </w:pPr>
            <w:r>
              <w:rPr>
                <w:rFonts w:ascii="Times New Roman" w:cs="Times New Roman" w:eastAsia="Times New Roman" w:hAnsi="Times New Roman"/>
                <w:sz w:val="11"/>
                <w:szCs w:val="11"/>
                <w:b w:val="1"/>
                <w:bCs w:val="1"/>
                <w:color w:val="auto"/>
                <w:w w:val="99"/>
              </w:rPr>
              <w:t>of incorporation)</w:t>
            </w:r>
          </w:p>
        </w:tc>
        <w:tc>
          <w:tcPr>
            <w:tcW w:w="4240" w:type="dxa"/>
            <w:vAlign w:val="bottom"/>
          </w:tcPr>
          <w:p>
            <w:pPr>
              <w:spacing w:after="0"/>
              <w:rPr>
                <w:sz w:val="12"/>
                <w:szCs w:val="12"/>
                <w:color w:val="auto"/>
              </w:rPr>
            </w:pPr>
          </w:p>
        </w:tc>
        <w:tc>
          <w:tcPr>
            <w:tcW w:w="1560" w:type="dxa"/>
            <w:vAlign w:val="bottom"/>
          </w:tcPr>
          <w:p>
            <w:pPr>
              <w:jc w:val="center"/>
              <w:ind w:left="645"/>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295"/>
        </w:trPr>
        <w:tc>
          <w:tcPr>
            <w:tcW w:w="2260" w:type="dxa"/>
            <w:vAlign w:val="bottom"/>
          </w:tcPr>
          <w:p>
            <w:pPr>
              <w:jc w:val="center"/>
              <w:ind w:right="405"/>
              <w:spacing w:after="0"/>
              <w:rPr>
                <w:sz w:val="20"/>
                <w:szCs w:val="20"/>
                <w:color w:val="auto"/>
              </w:rPr>
            </w:pPr>
            <w:r>
              <w:rPr>
                <w:rFonts w:ascii="Times New Roman" w:cs="Times New Roman" w:eastAsia="Times New Roman" w:hAnsi="Times New Roman"/>
                <w:sz w:val="11"/>
                <w:szCs w:val="11"/>
                <w:b w:val="1"/>
                <w:bCs w:val="1"/>
                <w:color w:val="auto"/>
                <w:w w:val="97"/>
              </w:rPr>
              <w:t>301 Commerce Street, Suite 3300</w:t>
            </w:r>
          </w:p>
        </w:tc>
        <w:tc>
          <w:tcPr>
            <w:tcW w:w="4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44"/>
        </w:trPr>
        <w:tc>
          <w:tcPr>
            <w:tcW w:w="2260" w:type="dxa"/>
            <w:vAlign w:val="bottom"/>
          </w:tcPr>
          <w:p>
            <w:pPr>
              <w:jc w:val="center"/>
              <w:ind w:right="405"/>
              <w:spacing w:after="0"/>
              <w:rPr>
                <w:sz w:val="20"/>
                <w:szCs w:val="20"/>
                <w:color w:val="auto"/>
              </w:rPr>
            </w:pPr>
            <w:r>
              <w:rPr>
                <w:rFonts w:ascii="Times New Roman" w:cs="Times New Roman" w:eastAsia="Times New Roman" w:hAnsi="Times New Roman"/>
                <w:sz w:val="11"/>
                <w:szCs w:val="11"/>
                <w:b w:val="1"/>
                <w:bCs w:val="1"/>
                <w:color w:val="auto"/>
                <w:w w:val="95"/>
              </w:rPr>
              <w:t>Fort Worth, TX</w:t>
            </w:r>
          </w:p>
        </w:tc>
        <w:tc>
          <w:tcPr>
            <w:tcW w:w="4240" w:type="dxa"/>
            <w:vAlign w:val="bottom"/>
          </w:tcPr>
          <w:p>
            <w:pPr>
              <w:spacing w:after="0"/>
              <w:rPr>
                <w:sz w:val="12"/>
                <w:szCs w:val="12"/>
                <w:color w:val="auto"/>
              </w:rPr>
            </w:pPr>
          </w:p>
        </w:tc>
        <w:tc>
          <w:tcPr>
            <w:tcW w:w="156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76102</w:t>
            </w:r>
          </w:p>
        </w:tc>
      </w:tr>
      <w:tr>
        <w:trPr>
          <w:trHeight w:val="144"/>
        </w:trPr>
        <w:tc>
          <w:tcPr>
            <w:tcW w:w="2260" w:type="dxa"/>
            <w:vAlign w:val="bottom"/>
          </w:tcPr>
          <w:p>
            <w:pPr>
              <w:jc w:val="center"/>
              <w:ind w:right="405"/>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4240" w:type="dxa"/>
            <w:vAlign w:val="bottom"/>
          </w:tcPr>
          <w:p>
            <w:pPr>
              <w:spacing w:after="0"/>
              <w:rPr>
                <w:sz w:val="12"/>
                <w:szCs w:val="12"/>
                <w:color w:val="auto"/>
              </w:rPr>
            </w:pPr>
          </w:p>
        </w:tc>
        <w:tc>
          <w:tcPr>
            <w:tcW w:w="1560" w:type="dxa"/>
            <w:vAlign w:val="bottom"/>
          </w:tcPr>
          <w:p>
            <w:pPr>
              <w:jc w:val="center"/>
              <w:ind w:left="645"/>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166"/>
        </w:trPr>
        <w:tc>
          <w:tcPr>
            <w:tcW w:w="2260" w:type="dxa"/>
            <w:vAlign w:val="bottom"/>
          </w:tcPr>
          <w:p>
            <w:pPr>
              <w:spacing w:after="0"/>
              <w:rPr>
                <w:sz w:val="14"/>
                <w:szCs w:val="14"/>
                <w:color w:val="auto"/>
              </w:rPr>
            </w:pPr>
          </w:p>
        </w:tc>
        <w:tc>
          <w:tcPr>
            <w:tcW w:w="4240" w:type="dxa"/>
            <w:vAlign w:val="bottom"/>
          </w:tcPr>
          <w:p>
            <w:pPr>
              <w:jc w:val="right"/>
              <w:ind w:right="1804"/>
              <w:spacing w:after="0"/>
              <w:rPr>
                <w:sz w:val="20"/>
                <w:szCs w:val="20"/>
                <w:color w:val="auto"/>
              </w:rPr>
            </w:pPr>
            <w:r>
              <w:rPr>
                <w:rFonts w:ascii="Times New Roman" w:cs="Times New Roman" w:eastAsia="Times New Roman" w:hAnsi="Times New Roman"/>
                <w:sz w:val="12"/>
                <w:szCs w:val="12"/>
                <w:b w:val="1"/>
                <w:bCs w:val="1"/>
                <w:color w:val="auto"/>
              </w:rPr>
              <w:t>(817) 871-4000</w:t>
            </w:r>
          </w:p>
        </w:tc>
        <w:tc>
          <w:tcPr>
            <w:tcW w:w="1560" w:type="dxa"/>
            <w:vAlign w:val="bottom"/>
          </w:tcPr>
          <w:p>
            <w:pPr>
              <w:spacing w:after="0"/>
              <w:rPr>
                <w:sz w:val="14"/>
                <w:szCs w:val="14"/>
                <w:color w:val="auto"/>
              </w:rPr>
            </w:pPr>
          </w:p>
        </w:tc>
      </w:tr>
      <w:tr>
        <w:trPr>
          <w:trHeight w:val="142"/>
        </w:trPr>
        <w:tc>
          <w:tcPr>
            <w:tcW w:w="2260" w:type="dxa"/>
            <w:vAlign w:val="bottom"/>
          </w:tcPr>
          <w:p>
            <w:pPr>
              <w:spacing w:after="0"/>
              <w:rPr>
                <w:sz w:val="12"/>
                <w:szCs w:val="12"/>
                <w:color w:val="auto"/>
              </w:rPr>
            </w:pPr>
          </w:p>
        </w:tc>
        <w:tc>
          <w:tcPr>
            <w:tcW w:w="4240" w:type="dxa"/>
            <w:vAlign w:val="bottom"/>
          </w:tcPr>
          <w:p>
            <w:pPr>
              <w:jc w:val="center"/>
              <w:ind w:right="184"/>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1560" w:type="dxa"/>
            <w:vAlign w:val="bottom"/>
          </w:tcPr>
          <w:p>
            <w:pPr>
              <w:spacing w:after="0"/>
              <w:rPr>
                <w:sz w:val="12"/>
                <w:szCs w:val="12"/>
                <w:color w:val="auto"/>
              </w:rPr>
            </w:pPr>
          </w:p>
        </w:tc>
      </w:tr>
      <w:tr>
        <w:trPr>
          <w:trHeight w:val="236"/>
        </w:trPr>
        <w:tc>
          <w:tcPr>
            <w:tcW w:w="2260" w:type="dxa"/>
            <w:vAlign w:val="bottom"/>
          </w:tcPr>
          <w:p>
            <w:pPr>
              <w:spacing w:after="0"/>
              <w:rPr>
                <w:sz w:val="20"/>
                <w:szCs w:val="20"/>
                <w:color w:val="auto"/>
              </w:rPr>
            </w:pPr>
          </w:p>
        </w:tc>
        <w:tc>
          <w:tcPr>
            <w:tcW w:w="4240" w:type="dxa"/>
            <w:vAlign w:val="bottom"/>
          </w:tcPr>
          <w:p>
            <w:pPr>
              <w:jc w:val="center"/>
              <w:ind w:right="164"/>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c>
          <w:tcPr>
            <w:tcW w:w="1560" w:type="dxa"/>
            <w:vAlign w:val="bottom"/>
          </w:tcPr>
          <w:p>
            <w:pPr>
              <w:spacing w:after="0"/>
              <w:rPr>
                <w:sz w:val="20"/>
                <w:szCs w:val="20"/>
                <w:color w:val="auto"/>
              </w:rPr>
            </w:pPr>
          </w:p>
        </w:tc>
      </w:tr>
      <w:tr>
        <w:trPr>
          <w:trHeight w:val="142"/>
        </w:trPr>
        <w:tc>
          <w:tcPr>
            <w:tcW w:w="2260" w:type="dxa"/>
            <w:vAlign w:val="bottom"/>
          </w:tcPr>
          <w:p>
            <w:pPr>
              <w:spacing w:after="0"/>
              <w:rPr>
                <w:sz w:val="12"/>
                <w:szCs w:val="12"/>
                <w:color w:val="auto"/>
              </w:rPr>
            </w:pPr>
          </w:p>
        </w:tc>
        <w:tc>
          <w:tcPr>
            <w:tcW w:w="4240" w:type="dxa"/>
            <w:vAlign w:val="bottom"/>
          </w:tcPr>
          <w:p>
            <w:pPr>
              <w:jc w:val="center"/>
              <w:ind w:right="184"/>
              <w:spacing w:after="0"/>
              <w:rPr>
                <w:sz w:val="20"/>
                <w:szCs w:val="20"/>
                <w:color w:val="auto"/>
              </w:rPr>
            </w:pPr>
            <w:r>
              <w:rPr>
                <w:rFonts w:ascii="Times New Roman" w:cs="Times New Roman" w:eastAsia="Times New Roman" w:hAnsi="Times New Roman"/>
                <w:sz w:val="11"/>
                <w:szCs w:val="11"/>
                <w:b w:val="1"/>
                <w:bCs w:val="1"/>
                <w:color w:val="auto"/>
                <w:w w:val="97"/>
              </w:rPr>
              <w:t>(Former Name or Former Address, if Changed Since Last Report)</w:t>
            </w:r>
          </w:p>
        </w:tc>
        <w:tc>
          <w:tcPr>
            <w:tcW w:w="1560" w:type="dxa"/>
            <w:vAlign w:val="bottom"/>
          </w:tcPr>
          <w:p>
            <w:pPr>
              <w:spacing w:after="0"/>
              <w:rPr>
                <w:sz w:val="12"/>
                <w:szCs w:val="12"/>
                <w:color w:val="auto"/>
              </w:rPr>
            </w:pPr>
          </w:p>
        </w:tc>
      </w:tr>
    </w:tbl>
    <w:p>
      <w:pPr>
        <w:spacing w:after="0" w:line="30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9"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0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109"/>
        </w:trPr>
        <w:tc>
          <w:tcPr>
            <w:tcW w:w="40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Class A common stock</w:t>
            </w:r>
          </w:p>
        </w:tc>
        <w:tc>
          <w:tcPr>
            <w:tcW w:w="140" w:type="dxa"/>
            <w:vAlign w:val="bottom"/>
          </w:tcPr>
          <w:p>
            <w:pPr>
              <w:spacing w:after="0"/>
              <w:rPr>
                <w:sz w:val="9"/>
                <w:szCs w:val="9"/>
                <w:color w:val="auto"/>
              </w:rPr>
            </w:pPr>
          </w:p>
        </w:tc>
        <w:tc>
          <w:tcPr>
            <w:tcW w:w="2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7"/>
              </w:rPr>
              <w:t>TPG</w:t>
            </w:r>
          </w:p>
        </w:tc>
        <w:tc>
          <w:tcPr>
            <w:tcW w:w="120" w:type="dxa"/>
            <w:vAlign w:val="bottom"/>
          </w:tcPr>
          <w:p>
            <w:pPr>
              <w:spacing w:after="0"/>
              <w:rPr>
                <w:sz w:val="9"/>
                <w:szCs w:val="9"/>
                <w:color w:val="auto"/>
              </w:rPr>
            </w:pPr>
          </w:p>
        </w:tc>
        <w:tc>
          <w:tcPr>
            <w:tcW w:w="40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9"/>
              </w:rPr>
              <w:t>The Nasdaq Stock Market LLC</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TPGXL</w:t>
            </w:r>
          </w:p>
        </w:tc>
        <w:tc>
          <w:tcPr>
            <w:tcW w:w="40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The Nasdaq Stock Market LLC</w:t>
            </w:r>
          </w:p>
        </w:tc>
        <w:tc>
          <w:tcPr>
            <w:tcW w:w="0" w:type="dxa"/>
            <w:vAlign w:val="bottom"/>
          </w:tcPr>
          <w:p>
            <w:pPr>
              <w:spacing w:after="0"/>
              <w:rPr>
                <w:sz w:val="1"/>
                <w:szCs w:val="1"/>
                <w:color w:val="auto"/>
              </w:rPr>
            </w:pPr>
          </w:p>
        </w:tc>
      </w:tr>
      <w:tr>
        <w:trPr>
          <w:trHeight w:val="159"/>
        </w:trPr>
        <w:tc>
          <w:tcPr>
            <w:tcW w:w="4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6.950% Subordinated Notes due 2064</w:t>
            </w:r>
          </w:p>
        </w:tc>
        <w:tc>
          <w:tcPr>
            <w:tcW w:w="3060" w:type="dxa"/>
            <w:vAlign w:val="bottom"/>
            <w:gridSpan w:val="2"/>
            <w:vMerge w:val="continue"/>
          </w:tcPr>
          <w:p>
            <w:pPr>
              <w:spacing w:after="0"/>
              <w:rPr>
                <w:sz w:val="13"/>
                <w:szCs w:val="13"/>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Market)</w:t>
            </w:r>
          </w:p>
        </w:tc>
        <w:tc>
          <w:tcPr>
            <w:tcW w:w="0" w:type="dxa"/>
            <w:vAlign w:val="bottom"/>
          </w:tcPr>
          <w:p>
            <w:pPr>
              <w:spacing w:after="0"/>
              <w:rPr>
                <w:sz w:val="1"/>
                <w:szCs w:val="1"/>
                <w:color w:val="auto"/>
              </w:rPr>
            </w:pPr>
          </w:p>
        </w:tc>
      </w:tr>
    </w:tbl>
    <w:p>
      <w:pPr>
        <w:spacing w:after="0" w:line="196"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9" w:lineRule="exact"/>
        <w:rPr>
          <w:sz w:val="24"/>
          <w:szCs w:val="24"/>
          <w:color w:val="auto"/>
        </w:rPr>
      </w:pPr>
    </w:p>
    <w:p>
      <w:pPr>
        <w:ind w:left="8" w:right="10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2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On October 29, 2026, TPG Inc. issued a summary press release and a detailed earnings presentation announcing financial results for its third quarter ended September 30, 2026. The summary press release and the earnings presentation are furnished as Exhibits 99.1 and 99.2, respectively, to this report.</w:t>
      </w:r>
    </w:p>
    <w:p>
      <w:pPr>
        <w:spacing w:after="0" w:line="10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2"/>
          <w:szCs w:val="12"/>
          <w:color w:val="auto"/>
        </w:rPr>
        <w:t>As provided in General Instruction B.2 of Form 8-K, the information in this Item 2.02 and Exhibits 99.1 and 99.2 incorporated in this Form 8-K shall not be deemed to be “filed” for purposes of Section 18 of the Securities Exchange Act of 1934, as amended (the “Exchange Act”), or otherwise subject to the liabilities of that section, nor shall such information or Exhibits 99.1 and 99.2 be deemed to be incorporated by reference in any filing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1933, as amended, or the Exchange Act, regardless of any general incorporation language in such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5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240" w:type="dxa"/>
            <w:vAlign w:val="bottom"/>
            <w:tcBorders>
              <w:top w:val="single" w:sz="8" w:color="auto"/>
            </w:tcBorders>
            <w:gridSpan w:val="2"/>
          </w:tcPr>
          <w:p>
            <w:pPr>
              <w:ind w:left="40"/>
              <w:spacing w:after="0" w:line="115"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12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5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Summary press release of TPG Inc., dated October 29, 2026.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33"/>
        </w:trPr>
        <w:tc>
          <w:tcPr>
            <w:tcW w:w="2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Earnings presentation of TPG Inc., dated October 29, 2026.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60"/>
        </w:trPr>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104</w:t>
            </w: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09"/>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thereto duly authorized.</w:t>
      </w:r>
    </w:p>
    <w:p>
      <w:pPr>
        <w:spacing w:after="0" w:line="194" w:lineRule="exact"/>
        <w:rPr>
          <w:sz w:val="20"/>
          <w:szCs w:val="20"/>
          <w:color w:val="auto"/>
        </w:rPr>
      </w:pPr>
    </w:p>
    <w:tbl>
      <w:tblPr>
        <w:tblLayout w:type="fixed"/>
        <w:tblInd w:w="3380" w:type="dxa"/>
        <w:tblCellMar>
          <w:top w:w="0" w:type="dxa"/>
          <w:left w:w="0" w:type="dxa"/>
          <w:bottom w:w="0" w:type="dxa"/>
          <w:right w:w="0" w:type="dxa"/>
        </w:tblCellMar>
      </w:tblPr>
      <w:tr>
        <w:trPr>
          <w:trHeight w:val="159"/>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TPG INC.</w:t>
            </w:r>
          </w:p>
        </w:tc>
        <w:tc>
          <w:tcPr>
            <w:tcW w:w="2700" w:type="dxa"/>
            <w:vAlign w:val="bottom"/>
          </w:tcPr>
          <w:p>
            <w:pPr>
              <w:spacing w:after="0"/>
              <w:rPr>
                <w:sz w:val="13"/>
                <w:szCs w:val="13"/>
                <w:color w:val="auto"/>
              </w:rPr>
            </w:pPr>
          </w:p>
        </w:tc>
      </w:tr>
      <w:tr>
        <w:trPr>
          <w:trHeight w:val="441"/>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2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Axel André</w:t>
            </w:r>
          </w:p>
        </w:tc>
      </w:tr>
      <w:tr>
        <w:trPr>
          <w:trHeight w:val="140"/>
        </w:trPr>
        <w:tc>
          <w:tcPr>
            <w:tcW w:w="5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Axel André</w:t>
            </w:r>
          </w:p>
        </w:tc>
      </w:tr>
      <w:tr>
        <w:trPr>
          <w:trHeight w:val="155"/>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2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29, 2026</w:t>
      </w:r>
    </w:p>
    <w:p>
      <w:pPr>
        <w:sectPr>
          <w:pgSz w:w="11900" w:h="16838" w:orient="portrait"/>
          <w:cols w:equalWidth="0" w:num="1">
            <w:col w:w="10159"/>
          </w:cols>
          <w:pgMar w:left="300" w:top="54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TPG Reports Third Quarter 2026 Results</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b w:val="1"/>
          <w:bCs w:val="1"/>
          <w:color w:val="auto"/>
        </w:rPr>
        <w:t xml:space="preserve">San Francisco and Fort Worth, Texas – October 29, 2026 </w:t>
      </w:r>
      <w:r>
        <w:rPr>
          <w:rFonts w:ascii="Arial" w:cs="Arial" w:eastAsia="Arial" w:hAnsi="Arial"/>
          <w:sz w:val="12"/>
          <w:szCs w:val="12"/>
          <w:color w:val="auto"/>
        </w:rPr>
        <w:t>– TPG Inc. (NASDAQ: TPG), a leading global alternative asset management firm, today reported its unaudited results for the third quarter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2026. A detailed presentation is available through the Investor Relations section of TPG’s website at shareholders.tpg.com.</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"TPG delivered an exceptional third quarter, reflecting broad-based momentum across the firm and continued progress across each of our strategic objectives,” said Jon Winkelried, Chief Executive Officer. “Given the quality of our investment performance and the depth of our relationships, we expect to exceed our fundraising target of $50 billion this year, with $15 billion raised in the quarter and nearly $42 billion year-to-date. With a record $86 billion of dry powder and an increasingly attractive opportunity set ahead, we are well positioned to capitalize on this environment and create long-term value for our stakeholders."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TPG has declared a quarterly dividend of $0.55 per share of Class A common stock to holders of record at the close of business on November 9, 2026, payable on November 23, 2026.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TPG will host a conference call and live webcast today at 11:00 am ET. It may be accessed by dialing (800) 245-3047 (US toll-free) or (203) 518-9765 (international), using the conference ID TPGQ326.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TPG</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TPG is a leading global alternative asset management firm, founded in San Francisco in 1992, with $346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sectPr>
          <w:pgSz w:w="11900" w:h="16838" w:orient="portrait"/>
          <w:cols w:equalWidth="0" w:num="1">
            <w:col w:w="11300"/>
          </w:cols>
          <w:pgMar w:left="300" w:top="991" w:right="29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Media</w:t>
      </w:r>
    </w:p>
    <w:p>
      <w:pPr>
        <w:spacing w:after="0" w:line="62" w:lineRule="exact"/>
        <w:rPr>
          <w:sz w:val="20"/>
          <w:szCs w:val="20"/>
          <w:color w:val="auto"/>
        </w:rPr>
      </w:pPr>
    </w:p>
    <w:p>
      <w:pPr>
        <w:sectPr>
          <w:pgSz w:w="11900" w:h="16838" w:orient="portrait"/>
          <w:cols w:equalWidth="0" w:num="2">
            <w:col w:w="3060" w:space="720"/>
            <w:col w:w="7520"/>
          </w:cols>
          <w:pgMar w:left="300" w:top="991" w:right="299" w:bottom="1440" w:gutter="0" w:footer="0" w:header="0"/>
          <w:type w:val="continuous"/>
        </w:sectPr>
      </w:pPr>
    </w:p>
    <w:p>
      <w:pPr>
        <w:spacing w:after="0"/>
        <w:rPr>
          <w:sz w:val="20"/>
          <w:szCs w:val="20"/>
          <w:color w:val="auto"/>
        </w:rPr>
      </w:pPr>
      <w:r>
        <w:rPr>
          <w:rFonts w:ascii="Arial" w:cs="Arial" w:eastAsia="Arial" w:hAnsi="Arial"/>
          <w:sz w:val="11"/>
          <w:szCs w:val="11"/>
          <w:color w:val="auto"/>
        </w:rPr>
        <w:t>Gary Stein and Evanny Huang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Luke Barrett and Julia Sottosanti</w:t>
      </w:r>
    </w:p>
    <w:p>
      <w:pPr>
        <w:spacing w:after="0" w:line="51" w:lineRule="exact"/>
        <w:rPr>
          <w:sz w:val="20"/>
          <w:szCs w:val="20"/>
          <w:color w:val="auto"/>
        </w:rPr>
      </w:pPr>
    </w:p>
    <w:p>
      <w:pPr>
        <w:sectPr>
          <w:pgSz w:w="11900" w:h="16838" w:orient="portrait"/>
          <w:cols w:equalWidth="0" w:num="2">
            <w:col w:w="3060" w:space="720"/>
            <w:col w:w="7520"/>
          </w:cols>
          <w:pgMar w:left="300" w:top="991" w:right="299" w:bottom="1440" w:gutter="0" w:footer="0" w:header="0"/>
          <w:type w:val="continuous"/>
        </w:sectPr>
      </w:pPr>
    </w:p>
    <w:p>
      <w:pPr>
        <w:spacing w:after="0"/>
        <w:rPr>
          <w:sz w:val="20"/>
          <w:szCs w:val="20"/>
          <w:color w:val="auto"/>
        </w:rPr>
      </w:pPr>
      <w:r>
        <w:rPr>
          <w:rFonts w:ascii="Arial" w:cs="Arial" w:eastAsia="Arial" w:hAnsi="Arial"/>
          <w:sz w:val="11"/>
          <w:szCs w:val="11"/>
          <w:color w:val="auto"/>
        </w:rPr>
        <w:t>shareholders@tpg.com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media@tpg.com</w:t>
      </w:r>
    </w:p>
    <w:p>
      <w:pPr>
        <w:spacing w:after="0" w:line="200" w:lineRule="exact"/>
        <w:rPr>
          <w:sz w:val="20"/>
          <w:szCs w:val="20"/>
          <w:color w:val="auto"/>
        </w:rPr>
      </w:pPr>
    </w:p>
    <w:p>
      <w:pPr>
        <w:sectPr>
          <w:pgSz w:w="11900" w:h="16838" w:orient="portrait"/>
          <w:cols w:equalWidth="0" w:num="2">
            <w:col w:w="3060" w:space="720"/>
            <w:col w:w="7520"/>
          </w:cols>
          <w:pgMar w:left="300" w:top="991" w:right="29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 No Offers</w:t>
      </w:r>
    </w:p>
    <w:p>
      <w:pPr>
        <w:spacing w:after="0" w:line="18" w:lineRule="exact"/>
        <w:rPr>
          <w:sz w:val="20"/>
          <w:szCs w:val="20"/>
          <w:color w:val="auto"/>
        </w:rPr>
      </w:pPr>
    </w:p>
    <w:p>
      <w:pPr>
        <w:jc w:val="both"/>
        <w:spacing w:after="0" w:line="244" w:lineRule="auto"/>
        <w:rPr>
          <w:sz w:val="20"/>
          <w:szCs w:val="20"/>
          <w:color w:val="auto"/>
        </w:rPr>
      </w:pPr>
      <w:r>
        <w:rPr>
          <w:rFonts w:ascii="Arial" w:cs="Arial" w:eastAsia="Arial" w:hAnsi="Arial"/>
          <w:sz w:val="12"/>
          <w:szCs w:val="12"/>
          <w:color w:val="auto"/>
        </w:rPr>
        <w:t>This document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w:t>
      </w:r>
    </w:p>
    <w:p>
      <w:pPr>
        <w:sectPr>
          <w:pgSz w:w="11900" w:h="16838" w:orient="portrait"/>
          <w:cols w:equalWidth="0" w:num="1">
            <w:col w:w="11300"/>
          </w:cols>
          <w:pgMar w:left="300" w:top="991" w:right="299" w:bottom="1440" w:gutter="0" w:footer="0" w:header="0"/>
          <w:type w:val="continuous"/>
        </w:sectPr>
      </w:pPr>
    </w:p>
    <w:bookmarkStart w:id="4" w:name="page5"/>
    <w:bookmarkEnd w:id="4"/>
    <w:p>
      <w:pPr>
        <w:jc w:val="both"/>
        <w:spacing w:after="0" w:line="286" w:lineRule="auto"/>
        <w:rPr>
          <w:sz w:val="20"/>
          <w:szCs w:val="20"/>
          <w:color w:val="auto"/>
        </w:rPr>
      </w:pPr>
      <w:r>
        <w:rPr>
          <w:rFonts w:ascii="Arial" w:cs="Arial" w:eastAsia="Arial" w:hAnsi="Arial"/>
          <w:sz w:val="12"/>
          <w:szCs w:val="12"/>
          <w:color w:val="auto"/>
        </w:rPr>
        <w:t>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discussed in the Company’s SEC filings.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For the reasons described above, we caution you against relying on any forward-looking statements, which should be read in conjunction with the other cautionary statements included elsewhere in this document and risk factors discussed from time to time in the Company’s filings with the SEC, which can be found at the SEC’s website at http://www.sec.gov. Any forward-looking statement in this document speaks only as of the date of this document. Factors or events that could cause our actual results to differ may emerge from time to time, and it is not possible for us to predict all of them. We undertake no obligation to update or revise any forward-looking statement after the date of this document,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This document does not constitute an offer of any TPG fund.</w:t>
      </w:r>
    </w:p>
    <w:p>
      <w:pPr>
        <w:sectPr>
          <w:pgSz w:w="11900" w:h="16838" w:orient="portrait"/>
          <w:cols w:equalWidth="0" w:num="1">
            <w:col w:w="11300"/>
          </w:cols>
          <w:pgMar w:left="300" w:top="991" w:right="2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2026-10-29T06:09:18Z</dcterms:created>
  <dcterms:modified xsi:type="dcterms:W3CDTF">2026-10-29T06:09:18Z</dcterms:modified>
</cp:coreProperties>
</file>