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Bright Gunther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TPG Inc.</w:t>
              </w:r>
            </w:hyperlink>
            <w:r>
              <w:rPr/>
              <w:t xml:space="preserve"> [ </w:t>
            </w:r>
            <w:r>
              <w:rPr>
                <w:rFonts w:ascii="Times;serif" w:hAnsi="Times;serif"/>
                <w:color w:val="0000FF"/>
                <w:sz w:val="24"/>
                <w:shd w:fill="FFFFFF" w:val="clear"/>
              </w:rPr>
              <w:t>TPG</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42,487</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annual award of restricted stock units ("RSUs"). Each RSU represents a contingent right to receive one share of Class A common stock of TPG Inc. (the "Issuer"). The Issuer has granted the RSUs pursuant to its Independent Director Compensation Policy. The RSUs will vest on the first anniversary of the grant date, subject to the Reporting Person's continuous service through the vesting date; provided that if the Reporting Person serves through the Issuer's next annual meeting of shareholders occurring after the date of grant, the Reporting Person will be entitled to retain the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Jennifer Chu is signing on behalf of Mr. Bright pursuant to the power of attorney dated August 16, 2025, which is attached hereto as an exhibit.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L. Chu, as attorney-in-fact (2)</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ss6596336_ex24.htm"/>
      <w:bookmarkStart w:id="3" w:name="ksss6596336_ex24"/>
      <w:bookmarkEnd w:id="2"/>
      <w:bookmarkEnd w:id="3"/>
      <w:r>
        <w:rPr/>
        <w:t> </w:t>
      </w:r>
      <w:r>
        <w:br w:type="page"/>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24.1</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POWER OF ATTORNEY</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the undersigned hereby constitutes and appoints Jennifer L. Chu, Joann Harris and Anilu Vazquez-Ubarri to be his or her true and lawful attorney-in-fact and agent to execute and file for and on behalf of the undersigned (i) any reports on Forms 3, 4, 5 and, if applicable, 144 (including any amendments thereto and any successors to such Forms) with respect to ownership of securities of TPG Inc. (the “Company”) that the undersigned may be required to file with the Securities and Exchange Commission in accordance with Section 16(a) of the Securities Exchange Act of 1934 and the rules thereunder and/or Rule 144 under the Securities Act of 1933, and (ii) as necessary, any other documents necessary or appropriate to obtain codes and passwords enabling the undersigned to file such reports electronically.</w:t>
      </w:r>
    </w:p>
    <w:p>
      <w:pPr>
        <w:pStyle w:val="TextBody"/>
        <w:bidi w:val="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and/or Rule 144 under the Securities Act of 1933.</w:t>
      </w:r>
    </w:p>
    <w:p>
      <w:pPr>
        <w:pStyle w:val="TextBody"/>
        <w:bidi w:val="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5 and, if applicable, 144 with respect to the undersigned's holdings and transactions in securities issued by the Company, unless earlier revoked by the undersigned in a signed writing delivered to the foregoing attorney-in-fact. This Power of Attorney also serves to revoke and replace as of the date hereof, any prior Power of Attorney executed by the undersigned with respect to the ownership of securities of the Company.</w:t>
      </w:r>
    </w:p>
    <w:p>
      <w:pPr>
        <w:pStyle w:val="TextBody"/>
        <w:bidi w:val="0"/>
        <w:jc w:val="left"/>
        <w:rPr>
          <w:caps w:val="false"/>
          <w:smallCaps w:val="false"/>
        </w:rPr>
      </w:pPr>
      <w:r>
        <w:rPr>
          <w:caps w:val="false"/>
          <w:smallCaps w:val="false"/>
        </w:rPr>
        <w:t> </w:t>
      </w:r>
    </w:p>
    <w:p>
      <w:pPr>
        <w:pStyle w:val="TextBody"/>
        <w:bidi w:val="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August 16, 2025.</w:t>
      </w:r>
    </w:p>
    <w:tbl>
      <w:tblPr>
        <w:tblW w:w="1955" w:type="dxa"/>
        <w:jc w:val="left"/>
        <w:tblInd w:w="0" w:type="dxa"/>
        <w:tblLayout w:type="fixed"/>
        <w:tblCellMar>
          <w:top w:w="0" w:type="dxa"/>
          <w:left w:w="0" w:type="dxa"/>
          <w:bottom w:w="0" w:type="dxa"/>
          <w:right w:w="0" w:type="dxa"/>
        </w:tblCellMar>
      </w:tblPr>
      <w:tblGrid>
        <w:gridCol w:w="75"/>
        <w:gridCol w:w="18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Gunther Bright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Gunther Bright</w:t>
            </w:r>
          </w:p>
        </w:tc>
      </w:tr>
    </w:tbl>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0" w:after="240"/>
        <w:jc w:val="left"/>
        <w:rPr>
          <w:caps w:val="false"/>
          <w:smallCaps w:val="false"/>
        </w:rPr>
      </w:pPr>
      <w:r>
        <w:rPr>
          <w:caps w:val="false"/>
          <w:smallCaps w:val="false"/>
        </w:rPr>
        <w:t> </w:t>
      </w:r>
    </w:p>
    <w:p>
      <w:pPr>
        <w:pStyle w:val="TextBody"/>
        <w:bidi w:val="0"/>
        <w:spacing w:before="20" w:after="20"/>
        <w:jc w:val="left"/>
        <w:rPr>
          <w:bdr w:val="single" w:sz="16" w:space="1" w:color="000000"/>
        </w:rPr>
      </w:pPr>
      <w:r>
        <w:rPr>
          <w:bdr w:val="single" w:sz="16" w:space="1" w:color="000000"/>
        </w:rPr>
        <w:t> </w:t>
      </w:r>
    </w:p>
    <w:p>
      <w:pPr>
        <w:pStyle w:val="TextBody"/>
        <w:bidi w:val="0"/>
        <w:spacing w:before="0" w:after="24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8765" TargetMode="External"/><Relationship Id="rId5" Type="http://schemas.openxmlformats.org/officeDocument/2006/relationships/hyperlink" Target="http://www.sec.gov/cgi-bin/browse-edgar?action=getcompany&amp;CIK=00018806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999</Words>
  <Characters>5279</Characters>
  <CharactersWithSpaces>6226</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