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18"/>
        </w:rPr>
      </w:pPr>
      <w:bookmarkStart w:id="0" w:name="d102469ds3asr.htm"/>
      <w:bookmarkStart w:id="1" w:name="ksd102469ds3asr"/>
      <w:bookmarkEnd w:id="0"/>
      <w:bookmarkEnd w:id="1"/>
      <w:r>
        <w:rPr>
          <w:rFonts w:ascii="Times New Roman" w:hAnsi="Times New Roman"/>
          <w:b/>
          <w:sz w:val="18"/>
        </w:rPr>
        <w:t xml:space="preserve">As filed with the Securities and Exchange Commission on October 16, 2026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S-3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TPG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87-2063362</w:t>
            </w:r>
          </w:p>
        </w:tc>
      </w:tr>
      <w:tr>
        <w:trPr/>
        <w:tc>
          <w:tcPr>
            <w:tcW w:w="5153" w:type="dxa"/>
            <w:tcBorders/>
          </w:tcPr>
          <w:p>
            <w:pPr>
              <w:pStyle w:val="TableContents"/>
              <w:bidi w:val="0"/>
              <w:spacing w:before="0" w:after="283"/>
              <w:jc w:val="center"/>
              <w:rPr>
                <w:b/>
              </w:rPr>
            </w:pPr>
            <w:r>
              <w:rPr>
                <w:b/>
              </w:rPr>
              <w:t>(State or Other Jurisdiction of</w:t>
              <w:b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Number)</w:t>
            </w:r>
          </w:p>
        </w:tc>
      </w:tr>
    </w:tbl>
    <w:p>
      <w:pPr>
        <w:pStyle w:val="TextBody"/>
        <w:bidi w:val="0"/>
        <w:spacing w:before="240" w:after="0"/>
        <w:jc w:val="center"/>
        <w:rPr>
          <w:rFonts w:ascii="Times New Roman" w:hAnsi="Times New Roman"/>
          <w:b/>
          <w:sz w:val="18"/>
        </w:rPr>
      </w:pPr>
      <w:r>
        <w:rPr>
          <w:rFonts w:ascii="Times New Roman" w:hAnsi="Times New Roman"/>
          <w:b/>
          <w:sz w:val="18"/>
        </w:rPr>
        <w:t xml:space="preserve">301 Commerce Street, Suite 3300 </w:t>
      </w:r>
    </w:p>
    <w:p>
      <w:pPr>
        <w:pStyle w:val="TextBody"/>
        <w:bidi w:val="0"/>
        <w:spacing w:before="0" w:after="0"/>
        <w:jc w:val="center"/>
        <w:rPr>
          <w:rFonts w:ascii="Times New Roman" w:hAnsi="Times New Roman"/>
          <w:b/>
          <w:sz w:val="18"/>
        </w:rPr>
      </w:pPr>
      <w:r>
        <w:rPr>
          <w:rFonts w:ascii="Times New Roman" w:hAnsi="Times New Roman"/>
          <w:b/>
          <w:sz w:val="18"/>
        </w:rPr>
        <w:t xml:space="preserve">Fort Worth, TX 76102 </w:t>
      </w:r>
    </w:p>
    <w:p>
      <w:pPr>
        <w:pStyle w:val="TextBody"/>
        <w:bidi w:val="0"/>
        <w:spacing w:before="0" w:after="0"/>
        <w:jc w:val="center"/>
        <w:rPr>
          <w:rFonts w:ascii="Times New Roman" w:hAnsi="Times New Roman"/>
          <w:b/>
          <w:sz w:val="18"/>
        </w:rPr>
      </w:pPr>
      <w:r>
        <w:rPr>
          <w:rFonts w:ascii="Times New Roman" w:hAnsi="Times New Roman"/>
          <w:b/>
          <w:sz w:val="18"/>
        </w:rPr>
        <w:t xml:space="preserve">(817) 871-4000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8"/>
        </w:rPr>
      </w:pPr>
      <w:r>
        <w:rPr>
          <w:rFonts w:ascii="Times New Roman" w:hAnsi="Times New Roman"/>
          <w:b/>
          <w:sz w:val="18"/>
        </w:rPr>
        <w:t xml:space="preserve">Jennifer L. Chu, Esq. </w:t>
      </w:r>
    </w:p>
    <w:p>
      <w:pPr>
        <w:pStyle w:val="TextBody"/>
        <w:bidi w:val="0"/>
        <w:spacing w:before="0" w:after="0"/>
        <w:jc w:val="center"/>
        <w:rPr>
          <w:rFonts w:ascii="Times New Roman" w:hAnsi="Times New Roman"/>
          <w:b/>
          <w:sz w:val="18"/>
        </w:rPr>
      </w:pPr>
      <w:r>
        <w:rPr>
          <w:rFonts w:ascii="Times New Roman" w:hAnsi="Times New Roman"/>
          <w:b/>
          <w:sz w:val="18"/>
        </w:rPr>
        <w:t xml:space="preserve">Chief Legal Officer and General Counsel </w:t>
      </w:r>
    </w:p>
    <w:p>
      <w:pPr>
        <w:pStyle w:val="TextBody"/>
        <w:bidi w:val="0"/>
        <w:spacing w:before="0" w:after="0"/>
        <w:jc w:val="center"/>
        <w:rPr>
          <w:rFonts w:ascii="Times New Roman" w:hAnsi="Times New Roman"/>
          <w:b/>
          <w:sz w:val="18"/>
        </w:rPr>
      </w:pPr>
      <w:r>
        <w:rPr>
          <w:rFonts w:ascii="Times New Roman" w:hAnsi="Times New Roman"/>
          <w:b/>
          <w:sz w:val="18"/>
        </w:rPr>
        <w:t xml:space="preserve">245 Park Avenue </w:t>
      </w:r>
    </w:p>
    <w:p>
      <w:pPr>
        <w:pStyle w:val="TextBody"/>
        <w:bidi w:val="0"/>
        <w:spacing w:before="0" w:after="0"/>
        <w:jc w:val="center"/>
        <w:rPr>
          <w:rFonts w:ascii="Times New Roman" w:hAnsi="Times New Roman"/>
          <w:b/>
          <w:sz w:val="18"/>
        </w:rPr>
      </w:pPr>
      <w:r>
        <w:rPr>
          <w:rFonts w:ascii="Times New Roman" w:hAnsi="Times New Roman"/>
          <w:b/>
          <w:sz w:val="18"/>
        </w:rPr>
        <w:t xml:space="preserve">New York, NY 10167 </w:t>
      </w:r>
    </w:p>
    <w:p>
      <w:pPr>
        <w:pStyle w:val="TextBody"/>
        <w:bidi w:val="0"/>
        <w:spacing w:before="0" w:after="0"/>
        <w:jc w:val="center"/>
        <w:rPr>
          <w:rFonts w:ascii="Times New Roman" w:hAnsi="Times New Roman"/>
          <w:b/>
          <w:sz w:val="18"/>
        </w:rPr>
      </w:pPr>
      <w:r>
        <w:rPr>
          <w:rFonts w:ascii="Times New Roman" w:hAnsi="Times New Roman"/>
          <w:b/>
          <w:sz w:val="18"/>
        </w:rPr>
        <w:t xml:space="preserve">Telephone: (212) 692-2000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center"/>
              <w:rPr>
                <w:b/>
              </w:rPr>
            </w:pPr>
            <w:r>
              <w:rPr>
                <w:b/>
              </w:rPr>
              <w:t>Michael B. Hickey, Esq.</w:t>
              <w:br/>
              <w:t>Michael Stein, Esq.</w:t>
              <w:br/>
              <w:t>Weil, Gotshal &amp; Manges LLP</w:t>
              <w:br/>
              <w:t>767 Fifth Avenue</w:t>
              <w:br/>
              <w:t>New York, New York 10153</w:t>
              <w:br/>
              <w:t>(212) 310-8000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8"/>
        </w:rPr>
      </w:pPr>
      <w:r>
        <w:rPr>
          <w:rFonts w:ascii="Times New Roman" w:hAnsi="Times New Roman"/>
          <w:b/>
          <w:sz w:val="18"/>
        </w:rPr>
        <w:t xml:space="preserve">Approximate date of commencement of proposed sale to the public: </w:t>
      </w:r>
    </w:p>
    <w:p>
      <w:pPr>
        <w:pStyle w:val="TextBody"/>
        <w:bidi w:val="0"/>
        <w:spacing w:before="0" w:after="0"/>
        <w:jc w:val="center"/>
        <w:rPr>
          <w:rFonts w:ascii="Times New Roman" w:hAnsi="Times New Roman"/>
          <w:sz w:val="18"/>
        </w:rPr>
      </w:pPr>
      <w:r>
        <w:rPr>
          <w:rFonts w:ascii="Times New Roman" w:hAnsi="Times New Roman"/>
          <w:sz w:val="18"/>
        </w:rPr>
        <w:t xml:space="preserve">From time to time after the effective date of this Registration Statement </w:t>
      </w:r>
    </w:p>
    <w:p>
      <w:pPr>
        <w:pStyle w:val="TextBody"/>
        <w:bidi w:val="0"/>
        <w:spacing w:before="24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24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24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24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24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9"/>
        <w:gridCol w:w="103"/>
        <w:gridCol w:w="4863"/>
        <w:gridCol w:w="120"/>
        <w:gridCol w:w="2626"/>
        <w:gridCol w:w="103"/>
        <w:gridCol w:w="241"/>
      </w:tblGrid>
      <w:tr>
        <w:trPr/>
        <w:tc>
          <w:tcPr>
            <w:tcW w:w="214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149"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63"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r>
        <w:trPr>
          <w:trHeight w:val="120" w:hRule="atLeast"/>
        </w:trPr>
        <w:tc>
          <w:tcPr>
            <w:tcW w:w="2149" w:type="dxa"/>
            <w:tcBorders/>
            <w:vAlign w:val="center"/>
          </w:tcPr>
          <w:p>
            <w:pPr>
              <w:pStyle w:val="TableContents"/>
              <w:bidi w:val="0"/>
              <w:spacing w:before="0" w:after="283"/>
              <w:jc w:val="left"/>
              <w:rPr>
                <w:sz w:val="4"/>
                <w:szCs w:val="4"/>
              </w:rPr>
            </w:pPr>
            <w:r>
              <w:rPr>
                <w:sz w:val="4"/>
                <w:szCs w:val="4"/>
              </w:rPr>
            </w:r>
          </w:p>
        </w:tc>
        <w:tc>
          <w:tcPr>
            <w:tcW w:w="4966" w:type="dxa"/>
            <w:gridSpan w:val="2"/>
            <w:tcBorders/>
            <w:vAlign w:val="center"/>
          </w:tcPr>
          <w:p>
            <w:pPr>
              <w:pStyle w:val="TableContents"/>
              <w:bidi w:val="0"/>
              <w:spacing w:before="0" w:after="283"/>
              <w:jc w:val="left"/>
              <w:rPr>
                <w:sz w:val="4"/>
                <w:szCs w:val="4"/>
              </w:rPr>
            </w:pPr>
            <w:r>
              <w:rPr>
                <w:sz w:val="4"/>
                <w:szCs w:val="4"/>
              </w:rPr>
            </w:r>
          </w:p>
        </w:tc>
        <w:tc>
          <w:tcPr>
            <w:tcW w:w="2746"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r>
      <w:tr>
        <w:trPr/>
        <w:tc>
          <w:tcPr>
            <w:tcW w:w="2149"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63" w:type="dxa"/>
            <w:tcBorders/>
            <w:vAlign w:val="bottom"/>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r>
        <w:trPr>
          <w:trHeight w:val="120" w:hRule="atLeast"/>
        </w:trPr>
        <w:tc>
          <w:tcPr>
            <w:tcW w:w="2149" w:type="dxa"/>
            <w:tcBorders/>
            <w:vAlign w:val="center"/>
          </w:tcPr>
          <w:p>
            <w:pPr>
              <w:pStyle w:val="TableContents"/>
              <w:bidi w:val="0"/>
              <w:spacing w:before="0" w:after="283"/>
              <w:jc w:val="left"/>
              <w:rPr>
                <w:sz w:val="4"/>
                <w:szCs w:val="4"/>
              </w:rPr>
            </w:pPr>
            <w:r>
              <w:rPr>
                <w:sz w:val="4"/>
                <w:szCs w:val="4"/>
              </w:rPr>
            </w:r>
          </w:p>
        </w:tc>
        <w:tc>
          <w:tcPr>
            <w:tcW w:w="4966" w:type="dxa"/>
            <w:gridSpan w:val="2"/>
            <w:tcBorders/>
            <w:vAlign w:val="center"/>
          </w:tcPr>
          <w:p>
            <w:pPr>
              <w:pStyle w:val="TableContents"/>
              <w:bidi w:val="0"/>
              <w:spacing w:before="0" w:after="283"/>
              <w:jc w:val="left"/>
              <w:rPr>
                <w:sz w:val="4"/>
                <w:szCs w:val="4"/>
              </w:rPr>
            </w:pPr>
            <w:r>
              <w:rPr>
                <w:sz w:val="4"/>
                <w:szCs w:val="4"/>
              </w:rPr>
            </w:r>
          </w:p>
        </w:tc>
        <w:tc>
          <w:tcPr>
            <w:tcW w:w="2746" w:type="dxa"/>
            <w:gridSpan w:val="2"/>
            <w:tcBorders/>
            <w:vAlign w:val="center"/>
          </w:tcPr>
          <w:p>
            <w:pPr>
              <w:pStyle w:val="TableContents"/>
              <w:bidi w:val="0"/>
              <w:spacing w:before="0" w:after="283"/>
              <w:jc w:val="left"/>
              <w:rPr>
                <w:sz w:val="4"/>
                <w:szCs w:val="4"/>
              </w:rPr>
            </w:pPr>
            <w:r>
              <w:rPr>
                <w:sz w:val="4"/>
                <w:szCs w:val="4"/>
              </w:rPr>
            </w:r>
          </w:p>
        </w:tc>
        <w:tc>
          <w:tcPr>
            <w:tcW w:w="344" w:type="dxa"/>
            <w:gridSpan w:val="2"/>
            <w:tcBorders/>
            <w:vAlign w:val="center"/>
          </w:tcPr>
          <w:p>
            <w:pPr>
              <w:pStyle w:val="TableContents"/>
              <w:bidi w:val="0"/>
              <w:spacing w:before="0" w:after="283"/>
              <w:jc w:val="left"/>
              <w:rPr>
                <w:sz w:val="4"/>
                <w:szCs w:val="4"/>
              </w:rPr>
            </w:pPr>
            <w:r>
              <w:rPr>
                <w:sz w:val="4"/>
                <w:szCs w:val="4"/>
              </w:rPr>
            </w:r>
          </w:p>
        </w:tc>
      </w:tr>
      <w:tr>
        <w:trPr/>
        <w:tc>
          <w:tcPr>
            <w:tcW w:w="214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6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November 2, 2023, TPG Inc. (the “Company”) filed a Registration Statement on Form S-3 (File No. 333-275278) (the “2023 Registration Statement”), which registered the issuance by the Company of an aggregate of 225,355,652 shares of the Company’s Class A common stock, par value $0.001 per share (“Class A common stock”), that may be issued from time to time to holders of common units (“Common Units”) of TPG Operating Group II, L.P., a Delaware limited partnership (“TPG Operating Group”). On September 13, 2024, the Company filed a Registration Statement on Form S-3 (File No. 333-282107) (the “2024 Registration Statement” and, together with the 2023 Registration Statement, the “Prior Registration Statements”), which registered the issuance by the Company of an aggregate of 53,004,985 shares of Class A common stock that may be issued from time to time to holders of Common Units of TPG Operating Group. As of the date of filing this registration statement, there were an aggregate of 202,179,591 unissued shares of Class A common stock (the “Unissued Shares”) registered under the Prior Registration Statements (excluding shares of Class A common stock that correspond to Common Units that have been forfeited). The Company is filing this registration statement to replace the Prior Registration Statements.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415(a)(6), the Unissued Shares are being carried forward and registered under this registration statement. Accordingly, the offering of the Unissued Shares under the Prior Registration Statements is deemed terminated as of the effectiveness of this registration statement.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750060" cy="7569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0060" cy="7569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TPG Inc. </w:t>
      </w:r>
    </w:p>
    <w:p>
      <w:pPr>
        <w:pStyle w:val="TextBody"/>
        <w:bidi w:val="0"/>
        <w:spacing w:before="240" w:after="0"/>
        <w:jc w:val="center"/>
        <w:rPr>
          <w:rFonts w:ascii="Times New Roman" w:hAnsi="Times New Roman"/>
          <w:b/>
          <w:sz w:val="36"/>
        </w:rPr>
      </w:pPr>
      <w:r>
        <w:rPr>
          <w:rFonts w:ascii="Times New Roman" w:hAnsi="Times New Roman"/>
          <w:b/>
          <w:sz w:val="36"/>
        </w:rPr>
        <w:t xml:space="preserve">202,179,591 Shares </w:t>
      </w:r>
    </w:p>
    <w:p>
      <w:pPr>
        <w:pStyle w:val="TextBody"/>
        <w:bidi w:val="0"/>
        <w:spacing w:before="0" w:after="0"/>
        <w:jc w:val="center"/>
        <w:rPr>
          <w:rFonts w:ascii="Times New Roman" w:hAnsi="Times New Roman"/>
          <w:b/>
          <w:sz w:val="28"/>
        </w:rPr>
      </w:pPr>
      <w:r>
        <w:rPr>
          <w:rFonts w:ascii="Times New Roman" w:hAnsi="Times New Roman"/>
          <w:b/>
          <w:sz w:val="28"/>
        </w:rPr>
        <w:t xml:space="preserve">Class A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issue from time to time up to 202,179,591 shares of our Class A common stock, par value $0.001 per share (“Class A common stock”), to holders of Common Units of TPG Operating Group upon exchange of up to an equal number of Common Units, as described under “Exchange of Common Units” on page 9 of this prospectus. </w:t>
      </w:r>
    </w:p>
    <w:p>
      <w:pPr>
        <w:pStyle w:val="TextBody"/>
        <w:bidi w:val="0"/>
        <w:spacing w:before="240" w:after="0"/>
        <w:jc w:val="left"/>
        <w:rPr/>
      </w:pPr>
      <w:r>
        <w:rPr/>
        <w:t>“</w:t>
      </w:r>
      <w:r>
        <w:rPr>
          <w:rFonts w:ascii="Times New Roman" w:hAnsi="Times New Roman"/>
          <w:sz w:val="20"/>
        </w:rPr>
        <w:t xml:space="preserve">TPG Operating Group” refers to TPG Operating Group II, L.P., a Delaware limited partnership. “Common Unit” refers to a common unit in TPG Operating Group. The Common Units that may be exchanged for shares of our Class A common stock covered by this prospectus were issued in connection with our IPO (as defined herein) and related reorganization and our acquisition of TPG Angelo Gordon (as defined herein). The Common Units exchangeable for the Unissued Shares were not permitted to be exchanged prior to the filing of the respective Prior Registration Statements.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 issuance of shares of our Class A common stock to permit holders of Common Units who exchange their Common Units to sell without restriction in the open market (or otherwise) any shares of our Class A common stock that they receive upon exchange. However, the registration of our Class A common stock does not alter the vesting requirements or any transfer restrictions applicable to the Common Units.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cash proceeds from the issuance of any shares of our Class A common stock upon an exchange of Common Units, although we will indirectly acquire the Common Units exchanged for shares of our Class A common stock that we issue to an exchanging holder, which will increase our percentage ownership in TPG Operating Group. </w:t>
      </w:r>
    </w:p>
    <w:p>
      <w:pPr>
        <w:pStyle w:val="TextBody"/>
        <w:bidi w:val="0"/>
        <w:spacing w:before="240" w:after="0"/>
        <w:jc w:val="left"/>
        <w:rPr>
          <w:rFonts w:ascii="Times New Roman" w:hAnsi="Times New Roman"/>
          <w:sz w:val="20"/>
        </w:rPr>
      </w:pPr>
      <w:r>
        <w:rPr>
          <w:rFonts w:ascii="Times New Roman" w:hAnsi="Times New Roman"/>
          <w:sz w:val="20"/>
        </w:rPr>
        <w:t xml:space="preserve">Our Class A common stock is listed on the NASDAQ Global Select Market (“NASDAQ”) under the symbol “TPG.” On October 15, 2026, the last sale price of our Class A common stock as reported on NASDAQ was $43.37 per share.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Class A common stock involves risk. See “</w:t>
      </w:r>
      <w:hyperlink w:anchor="tx102469_6">
        <w:r>
          <w:rPr>
            <w:rStyle w:val="InternetLink"/>
            <w:rFonts w:ascii="Times New Roman" w:hAnsi="Times New Roman"/>
            <w:b/>
            <w:sz w:val="24"/>
          </w:rPr>
          <w:t>Risk Factors</w:t>
        </w:r>
      </w:hyperlink>
      <w:r>
        <w:rPr>
          <w:rFonts w:ascii="Times New Roman" w:hAnsi="Times New Roman"/>
          <w:b/>
          <w:sz w:val="24"/>
        </w:rPr>
        <w:t xml:space="preserve">” on page 7 of this prospectus and any similar section contained in the documents incorporated by reference therein to read about factors you should consider before buying shares of our Class A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The date of this prospectus is October 16,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102469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02469_2">
              <w:r>
                <w:rPr>
                  <w:rStyle w:val="InternetLink"/>
                  <w:rFonts w:ascii="Times New Roman" w:hAnsi="Times New Roman"/>
                  <w:sz w:val="20"/>
                </w:rPr>
                <w:t>TERMS USED IN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02469_3">
              <w:r>
                <w:rPr>
                  <w:rStyle w:val="InternetLink"/>
                  <w:rFonts w:ascii="Times New Roman" w:hAnsi="Times New Roman"/>
                  <w:sz w:val="20"/>
                </w:rPr>
                <w:t>WHERE YOU CAN FIND MORE INFORMATION; INCORPORATION OF CERTAIN DOCUMENTS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02469_4">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02469_5">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02469_6">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02469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02469_8">
              <w:r>
                <w:rPr>
                  <w:rStyle w:val="InternetLink"/>
                  <w:rFonts w:ascii="Times New Roman" w:hAnsi="Times New Roman"/>
                  <w:sz w:val="20"/>
                </w:rPr>
                <w:t>EXCHANGE OF COMMON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02469_9">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02469_10">
              <w:r>
                <w:rPr>
                  <w:rStyle w:val="InternetLink"/>
                  <w:rFonts w:ascii="Times New Roman" w:hAnsi="Times New Roman"/>
                  <w:sz w:val="20"/>
                </w:rPr>
                <w:t>COMPARISON OF OWNERSHIP OF CLASS A COMMON STOCK AND COMMON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02469_11">
              <w:r>
                <w:rPr>
                  <w:rStyle w:val="InternetLink"/>
                  <w:rFonts w:ascii="Times New Roman" w:hAnsi="Times New Roman"/>
                  <w:sz w:val="20"/>
                </w:rPr>
                <w:t>MATERIAL U.S. FEDERAL INCOME AND ESTATE TAX CONSIDERATIONS TO NON-U.S. 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02469_12">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02469_13">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102469_14">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x102469_1"/>
      <w:bookmarkEnd w:id="2"/>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that we filed with the SEC as a “well-known seasoned issuer” as defined in Rule 405 under the Securities Act. Under the automatic shelf registration process, we may offer from time to time up to an aggregate of 202,179,591 shares of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 You should carefully read this prospectus together with the additional information that is incorporated or deemed incorporated by reference in this prospectus as described under “Where You Can Find More Information; Incorporation of Certain Documents by Reference” before making an investment decision. This prospectus contains summaries of certain provisions contained in some of the documents described herein, but reference is made to the actual documents for complete information. All of the summaries are qualified in their entirety by the actual documents. Copies of the documents referred to herein have been filed, or will be filed or incorporated by reference, as exhibits to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In considering the performance information included or incorporated by reference in this prospectus relating to our funds, prospective stockholders of our Class A common stock should bear in mind that the performance of our funds is not indicative of the possible performance of our shares of Class A common stock and is also not necessarily indicative of the future results of our funds, even if fund investments were in fact liquidated on the dates indicated, and there can be no assurance that our funds will continue to achieve, or that future funds will achieve, comparable results.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 investment in our Class A common stock is not an investment in any of the TPG funds, and the assets and revenues of our funds are not directly available to us. This prospectus relates solely to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prospectus, and any accompanying prospectus supplement, including the information incorporated by reference herein and any free writing prospectus that we prepare and distribute. We have not authorized anyone to provide you with information or to make any representations about anything not contained in this prospectus or the documents incorporated by reference in this prospectus. You must not rely on any unauthorized information or representations.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this prospectus and the offering and sale of our Class A common stock in certain jurisdictions may be restricted by law. We require persons into whose possession this prospectus comes to inform themselves about and to observe any such restrictions. This prospectus does not constitute an offer of, or an invitation to purchase, any shares of our Class A common stock in any jurisdiction in which such offer or solicitation would be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tx102469_2"/>
      <w:bookmarkEnd w:id="3"/>
      <w:r>
        <w:rPr>
          <w:rFonts w:ascii="Times New Roman" w:hAnsi="Times New Roman"/>
          <w:b/>
          <w:sz w:val="20"/>
        </w:rPr>
        <w:t xml:space="preserve">TERMS USED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unless the context otherwise requires, references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TPG,” “the Company,” “we,” “our” and “us,” or like terms, refer to TPG Inc. and its consolidated subsidiaries taken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t>“</w:t>
            </w:r>
            <w:r>
              <w:rPr>
                <w:rFonts w:ascii="Times New Roman" w:hAnsi="Times New Roman"/>
                <w:sz w:val="20"/>
              </w:rPr>
              <w:t xml:space="preserve">Class A common stock” refers to shares of our Class A common stock, par value $0.001 per share, which entitles the holder to one vote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Class B common stock” refers to our Class B common stock, par value $0.001 per share, which entitles the holders to ten votes per share until the Sunset but carries no economic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t>“</w:t>
            </w:r>
            <w:r>
              <w:rPr>
                <w:rFonts w:ascii="Times New Roman" w:hAnsi="Times New Roman"/>
                <w:sz w:val="20"/>
              </w:rPr>
              <w:t xml:space="preserve">common stock” refers, collectively, to our Class A common stock, nonvoting Class A common stock and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Common Unit” refers to a common unit in TPG Operating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 Group” refers to the members of GP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DGCL” refers to the Delaware General Corporation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Exchange Act” refers to the Securities Exchange Act of 1934,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Exchange Agreement” refers to the Amended and Restated Exchange Agreement entered into by TPG Inc. and the other parties thereto on November 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GP LLC” refers to TPG GP A, LLC, a Delaware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GP LLC LLCA” refers to the amended and restated limited liability company operating agreement of GP LLC, dated as of November 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Investor Rights Agreement” refers to the Amended and Restated Investor Rights Agreement entered into by TPG Inc. and the other parties thereto on November 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IPO” refers to our initial public offering of our Class A common stock that was completed on January 18,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NASDAQ” refers to the NASDAQ Global Select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nonvoting Class A common stock” refers to our nonvoting Class A common stock, which has no voting rights and is convertible into shares of Class A common stock upon transfer to a third party as and when permitted by the Investor Rights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Preferred Stock” refers to our preferred stock, par value $0.001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Prior Registration Statements” refers to the Company’s Registration Statements on Form S-3 (File Nos. 333-275278 and 333-282107) filed with the SEC on November 2, 2023 and September 13, 2024,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SEC” refers to the U.S. Securities and Exchange Commission.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Securities Act” refers to the Securities Act of 1933,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Sunset” refers to the event that will occur on the date that a majority of the independent directors are elected at the first annual meeting of stockholders (or pursuant to a consent of stockholders in lieu thereof) after the earlier of (i) the earliest date specified in a notice delivered to the Company by GP LLC and its members pursuant to that certain GP LLC LLCA promptly following the earliest of: (a) the date that is three months after the date that neither David Bonderman nor James G. (“Jim”) Coulter (each, a “Founder”) continues to be a member of GP LLC, (b) a vote of GP LLC to trigger the Sunset and (c) upon 60 days’ advance notice, the date determined by either Founder who is then a member of the Control Group to trigger the Sunset, if, following a period of at least 60 days, the requisite parties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unable to agree on the renewal of Mr. Winkelried’s employment agreement or the selection of a new Chief Executive Officer (“CEO”) in the event that Mr. Winkelried ceases to serve as our CEO, and (ii) the first day of the quarter immediately following the fifth anniversary of the IPO.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TPG Angelo Gordon” refers, collectively, to Angelo, Gordon &amp; Co., L.P. and AG Funds L.P., each a Delaware limited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TPG Operating Group” refers to TPG Operating Group II, L.P., a Delaware limited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TPG Operating Group Limited Partnership Agreement” refers to the seventh amended and restated limited partnership agreement of TPG Operating Group, dated as of November 1, 2023, by and among TPG Holdings II-A, LLC and the limited partners of TPG Operating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Unissued Shares” refers to the aggregate 202,179,591 unissued shares of Class A common stock registered under the Prior Registration Statements (excluding shares of Class A common stock that correspond to Common Units that have been forfeited).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tx102469_3"/>
      <w:bookmarkEnd w:id="4"/>
      <w:r>
        <w:rPr>
          <w:rFonts w:ascii="Times New Roman" w:hAnsi="Times New Roman"/>
          <w:b/>
          <w:sz w:val="20"/>
        </w:rPr>
        <w:t xml:space="preserve">WHERE YOU CAN FIND MORE INFORMATION; 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We file annual, quarterly and current reports, proxy statements and other information with the SEC. The SEC maintains a website (</w:t>
      </w:r>
      <w:r>
        <w:rPr>
          <w:rFonts w:ascii="Times New Roman" w:hAnsi="Times New Roman"/>
          <w:i/>
          <w:sz w:val="20"/>
        </w:rPr>
        <w:t>http://www.sec.gov</w:t>
      </w:r>
      <w:r>
        <w:rPr>
          <w:rFonts w:ascii="Times New Roman" w:hAnsi="Times New Roman"/>
          <w:sz w:val="20"/>
        </w:rPr>
        <w:t xml:space="preserve">) from which interested persons can electronically access our reports, proxy statements and other information regarding us.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into this prospectus certain information that we have filed with the SEC, which means that we are disclosing important information to you by referring you to documents we have filed separately with the SEC. The documents incorporated by reference are considered part of this prospectus. This prospectus incorporates by reference the following (excluding any portions of such documents that have been “furnished” but not “filed” for purposes of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17, 2026 (our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21, 2026 (but only to the extent incorporated by reference in Part III of our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5">
              <w:r>
                <w:rPr>
                  <w:rStyle w:val="InternetLink"/>
                  <w:rFonts w:ascii="Times New Roman" w:hAnsi="Times New Roman"/>
                  <w:sz w:val="20"/>
                </w:rPr>
                <w:t>May 1, 2026</w:t>
              </w:r>
            </w:hyperlink>
            <w:r>
              <w:rPr>
                <w:rFonts w:ascii="Times New Roman" w:hAnsi="Times New Roman"/>
                <w:sz w:val="20"/>
              </w:rPr>
              <w:t xml:space="preserve"> and </w:t>
            </w:r>
            <w:hyperlink r:id="rId6">
              <w:r>
                <w:rPr>
                  <w:rStyle w:val="InternetLink"/>
                  <w:rFonts w:ascii="Times New Roman" w:hAnsi="Times New Roman"/>
                  <w:sz w:val="20"/>
                </w:rPr>
                <w:t>August 4, 2026</w:t>
              </w:r>
            </w:hyperlink>
            <w:r>
              <w:rPr>
                <w:rFonts w:ascii="Times New Roman" w:hAnsi="Times New Roman"/>
                <w:sz w:val="20"/>
              </w:rPr>
              <w:t xml:space="preserve"> (our “Quarterly Reports”);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January 6, 2026</w:t>
              </w:r>
            </w:hyperlink>
            <w:r>
              <w:rPr>
                <w:rFonts w:ascii="Times New Roman" w:hAnsi="Times New Roman"/>
                <w:sz w:val="20"/>
              </w:rPr>
              <w:t xml:space="preserve">, </w:t>
            </w:r>
            <w:hyperlink r:id="rId8">
              <w:r>
                <w:rPr>
                  <w:rStyle w:val="InternetLink"/>
                  <w:rFonts w:ascii="Times New Roman" w:hAnsi="Times New Roman"/>
                  <w:sz w:val="20"/>
                </w:rPr>
                <w:t>February  26, 2026</w:t>
              </w:r>
            </w:hyperlink>
            <w:r>
              <w:rPr>
                <w:rFonts w:ascii="Times New Roman" w:hAnsi="Times New Roman"/>
                <w:sz w:val="20"/>
              </w:rPr>
              <w:t xml:space="preserve">, </w:t>
            </w:r>
            <w:hyperlink r:id="rId9">
              <w:r>
                <w:rPr>
                  <w:rStyle w:val="InternetLink"/>
                  <w:rFonts w:ascii="Times New Roman" w:hAnsi="Times New Roman"/>
                  <w:sz w:val="20"/>
                </w:rPr>
                <w:t>April 9,  2026</w:t>
              </w:r>
            </w:hyperlink>
            <w:r>
              <w:rPr>
                <w:rFonts w:ascii="Times New Roman" w:hAnsi="Times New Roman"/>
                <w:sz w:val="20"/>
              </w:rPr>
              <w:t xml:space="preserve">, </w:t>
            </w:r>
            <w:hyperlink r:id="rId10">
              <w:r>
                <w:rPr>
                  <w:rStyle w:val="InternetLink"/>
                  <w:rFonts w:ascii="Times New Roman" w:hAnsi="Times New Roman"/>
                  <w:sz w:val="20"/>
                </w:rPr>
                <w:t>June  5, 2026</w:t>
              </w:r>
            </w:hyperlink>
            <w:r>
              <w:rPr>
                <w:rFonts w:ascii="Times New Roman" w:hAnsi="Times New Roman"/>
                <w:sz w:val="20"/>
              </w:rPr>
              <w:t xml:space="preserve">, </w:t>
            </w:r>
            <w:hyperlink r:id="rId11">
              <w:r>
                <w:rPr>
                  <w:rStyle w:val="InternetLink"/>
                  <w:rFonts w:ascii="Times New Roman" w:hAnsi="Times New Roman"/>
                  <w:sz w:val="20"/>
                </w:rPr>
                <w:t>June  22, 2026</w:t>
              </w:r>
            </w:hyperlink>
            <w:r>
              <w:rPr>
                <w:rFonts w:ascii="Times New Roman" w:hAnsi="Times New Roman"/>
                <w:sz w:val="20"/>
              </w:rPr>
              <w:t xml:space="preserve"> and </w:t>
            </w:r>
            <w:hyperlink r:id="rId12">
              <w:r>
                <w:rPr>
                  <w:rStyle w:val="InternetLink"/>
                  <w:rFonts w:ascii="Times New Roman" w:hAnsi="Times New Roman"/>
                  <w:sz w:val="20"/>
                </w:rPr>
                <w:t>September 8,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securities contained in </w:t>
            </w:r>
            <w:hyperlink r:id="rId13">
              <w:r>
                <w:rPr>
                  <w:rStyle w:val="InternetLink"/>
                  <w:rFonts w:ascii="Times New Roman" w:hAnsi="Times New Roman"/>
                  <w:sz w:val="20"/>
                </w:rPr>
                <w:t>Exhibit 4.1</w:t>
              </w:r>
            </w:hyperlink>
            <w:r>
              <w:rPr>
                <w:rFonts w:ascii="Times New Roman" w:hAnsi="Times New Roman"/>
                <w:sz w:val="20"/>
              </w:rPr>
              <w:t xml:space="preserve"> to our Annual Report, and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incorporate by reference any filings made with the SEC in accordance with Sections 13(a), 13(c), 14 or 15(d) of the Exchange Act on or after the date of this prospectus and before the date all of the securities offered hereby are sold or the offering is otherwise terminated, with the exception of any information furnished under Item 2.02 or Item 7.01 (including any financial statements or exhibits relating thereto furnished pursuant to Item 9.01) of Form 8-K, which is not deemed filed and which is not incorporated by reference herein. Any such filings shall be deemed to be incorporated by reference and to be a part of this prospectus from the respective dates of filing of those documents. Any statement contained in a document or report incorporated or deemed to be incorporated by reference herein shall be deemed to be modified or superseded for purposes of this prospectus to the extent that a statement contained herein or in any subsequently filed document or report that also is or is deemed to be incorporated by reference herein modifies or supersedes such statement. Any such statement so modified or superseded shall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can obtain any of the filings incorporated by reference into this prospectus through us or from the SEC through the SEC’s website at http://www.sec.gov. We will provide, without charge, to each person, including any beneficial owner, to whom a copy of this prospectus is delivered, upon written or oral request of such person, a copy of any or all of the reports and documents referred to above which have been or may be incorporated by reference into this prospectus. You should direct requests for those documents to: </w:t>
      </w:r>
    </w:p>
    <w:p>
      <w:pPr>
        <w:pStyle w:val="TextBody"/>
        <w:bidi w:val="0"/>
        <w:spacing w:before="240" w:after="0"/>
        <w:jc w:val="center"/>
        <w:rPr>
          <w:rFonts w:ascii="Times New Roman" w:hAnsi="Times New Roman"/>
          <w:sz w:val="20"/>
        </w:rPr>
      </w:pPr>
      <w:r>
        <w:rPr>
          <w:rFonts w:ascii="Times New Roman" w:hAnsi="Times New Roman"/>
          <w:sz w:val="20"/>
        </w:rPr>
        <w:t xml:space="preserve">TPG Inc. </w:t>
      </w:r>
    </w:p>
    <w:p>
      <w:pPr>
        <w:pStyle w:val="TextBody"/>
        <w:bidi w:val="0"/>
        <w:spacing w:before="0" w:after="0"/>
        <w:jc w:val="center"/>
        <w:rPr>
          <w:rFonts w:ascii="Times New Roman" w:hAnsi="Times New Roman"/>
          <w:sz w:val="20"/>
        </w:rPr>
      </w:pPr>
      <w:r>
        <w:rPr>
          <w:rFonts w:ascii="Times New Roman" w:hAnsi="Times New Roman"/>
          <w:sz w:val="20"/>
        </w:rPr>
        <w:t xml:space="preserve">301 Commerce Street, Suite 3300 </w:t>
      </w:r>
    </w:p>
    <w:p>
      <w:pPr>
        <w:pStyle w:val="TextBody"/>
        <w:bidi w:val="0"/>
        <w:spacing w:before="0" w:after="0"/>
        <w:jc w:val="center"/>
        <w:rPr>
          <w:rFonts w:ascii="Times New Roman" w:hAnsi="Times New Roman"/>
          <w:sz w:val="20"/>
        </w:rPr>
      </w:pPr>
      <w:r>
        <w:rPr>
          <w:rFonts w:ascii="Times New Roman" w:hAnsi="Times New Roman"/>
          <w:sz w:val="20"/>
        </w:rPr>
        <w:t xml:space="preserve">Fort Worth, Texas 76102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Department </w:t>
      </w:r>
    </w:p>
    <w:p>
      <w:pPr>
        <w:pStyle w:val="TextBody"/>
        <w:bidi w:val="0"/>
        <w:spacing w:before="0" w:after="0"/>
        <w:jc w:val="center"/>
        <w:rPr>
          <w:rFonts w:ascii="Times New Roman" w:hAnsi="Times New Roman"/>
          <w:sz w:val="20"/>
        </w:rPr>
      </w:pPr>
      <w:r>
        <w:rPr>
          <w:rFonts w:ascii="Times New Roman" w:hAnsi="Times New Roman"/>
          <w:sz w:val="20"/>
        </w:rPr>
        <w:t xml:space="preserve">Telephone: 817-871-4044 </w:t>
      </w:r>
    </w:p>
    <w:p>
      <w:pPr>
        <w:pStyle w:val="TextBody"/>
        <w:bidi w:val="0"/>
        <w:spacing w:before="0" w:after="0"/>
        <w:jc w:val="center"/>
        <w:rPr>
          <w:rFonts w:ascii="Times New Roman" w:hAnsi="Times New Roman"/>
          <w:sz w:val="20"/>
        </w:rPr>
      </w:pPr>
      <w:r>
        <w:rPr>
          <w:rFonts w:ascii="Times New Roman" w:hAnsi="Times New Roman"/>
          <w:sz w:val="20"/>
        </w:rPr>
        <w:t xml:space="preserve">investorrelations@tpg.com </w:t>
      </w:r>
    </w:p>
    <w:p>
      <w:pPr>
        <w:pStyle w:val="TextBody"/>
        <w:bidi w:val="0"/>
        <w:spacing w:before="240" w:after="0"/>
        <w:jc w:val="left"/>
        <w:rPr>
          <w:rFonts w:ascii="Times New Roman" w:hAnsi="Times New Roman"/>
          <w:sz w:val="20"/>
        </w:rPr>
      </w:pPr>
      <w:r>
        <w:rPr>
          <w:rFonts w:ascii="Times New Roman" w:hAnsi="Times New Roman"/>
          <w:sz w:val="20"/>
        </w:rPr>
        <w:t xml:space="preserve">We maintain an internet site at https://www.tpg.com. Our SEC filings are also available free of charge at our website. Our website and the information contained on, or that can be accessed through, this website shall not be deemed to be incorporated by reference in, and shall not be considered part of, this prospectus. You should not rely on any such information in making your investment decision.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5" w:name="tx102469_4"/>
      <w:bookmarkEnd w:id="5"/>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statements contained in this prospectus or in our other documents that are incorporated by reference herein, that are not purely historical are forward-looking statements within the meaning of Section 27A of the Securities Act and Section 21E of the Exchange Act, including statements regarding our expectations, hopes, intentions or strategies regarding the future.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estimated operational metrics, business strategy and plans and objectives of management for future operations, including, among other things, statements regarding expected growth, future capital expenditures, fund performance, dividends and dividend policy and debt service obligations.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actual results may differ materially from those contemplated by the forward-looking statements. Important factors that could cause actual results to differ materially from those in the forward-looking statements include the inability to recognize the anticipated benefits, or unexpected costs related to the integration, of acquired companies; our ability to manage growth and execute our business plan; and regional, national or global political, economic, business, competitive, market and regulatory conditions and uncertainties, including, but not limited to, those described in our Annual Report, as such factors may be updated from time to time in our Quarterly Reports. </w:t>
      </w:r>
    </w:p>
    <w:p>
      <w:pPr>
        <w:pStyle w:val="TextBody"/>
        <w:bidi w:val="0"/>
        <w:spacing w:before="240" w:after="0"/>
        <w:jc w:val="left"/>
        <w:rPr>
          <w:rFonts w:ascii="Times New Roman" w:hAnsi="Times New Roman"/>
          <w:sz w:val="20"/>
        </w:rPr>
      </w:pPr>
      <w:r>
        <w:rPr>
          <w:rFonts w:ascii="Times New Roman" w:hAnsi="Times New Roman"/>
          <w:sz w:val="20"/>
        </w:rPr>
        <w:t xml:space="preserve">For the reasons described above, we caution you against relying on any forward-looking statements, which should also be read in conjunction with the other cautionary statements that are incorporated by reference herein. Any forward-looking statement made by us in this prospectus speaks only as of the date on which we make it. Factors or events that could cause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tx102469_5"/>
      <w:bookmarkEnd w:id="6"/>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TPG is a leading global alternative asset management firm, founded in San Francisco in 1992, with $327 billion of assets under management and investment and operational teams around the world. TPG invests across a broadly diversified set of strategies, including private equity, impact, credit, real estate and market solutions, and our unique strategy is driven by collaboration, innovation and inclusion. Our teams combine deep product and sector experience with broad capabilities and expertise to develop differentiated insights and add value for our fund investors, portfolio companies, management teams and communities. </w:t>
      </w:r>
    </w:p>
    <w:p>
      <w:pPr>
        <w:pStyle w:val="TextBody"/>
        <w:bidi w:val="0"/>
        <w:spacing w:before="240" w:after="0"/>
        <w:jc w:val="left"/>
        <w:rPr>
          <w:rFonts w:ascii="Times New Roman" w:hAnsi="Times New Roman"/>
          <w:sz w:val="20"/>
        </w:rPr>
      </w:pPr>
      <w:r>
        <w:rPr>
          <w:rFonts w:ascii="Times New Roman" w:hAnsi="Times New Roman"/>
          <w:sz w:val="20"/>
        </w:rPr>
        <w:t xml:space="preserve">TPG Inc. is a Delaware corporation. Our shares of Class A common stock are listed on NASDAQ under the symbol “TPG.” Our principal executive offices are located at 301 Commerce Street, Suite 3300, Fort Worth, Texas 76102, and our telephone number is (817) 871-4000. Our corporate website address is www.tpg.com. Our website and the information contained on, or that can be accessed through, this website shall not be deemed to be incorporated by reference in, and shall not be considered part of, this prospectus. You should not rely on any such information in making your investment decision.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tx102469_6"/>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 your Common Units for our Class A common stock involves risks. You should carefully consider the risk factors described in our Annual Report and Quarterly Reports, as such risks may be updated from time to time in our periodic filings with the SEC. See “Where You Can Find More Information; Incorporation of Certain Documents by Reference.” Each of the risks described in these documents could materially and adversely affect our business, financial condition, results of operations and prospects and could result in a partial or complete loss of your investment. The risks and uncertainties are not limited to those set forth in the risk factors described in these documents. Additional risks and uncertainties not presently known to us or that we currently believe to be less significant than the risk factors incorporated by reference herein may also adversely affect our business. In addition, past financial performance may not be a reliable indicator of future performance, and historical trends should not be used to anticipate results or trends in future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tx102469_7"/>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cash proceeds from the issuance of any shares of our Class A common stock upon exchange of the Common Units pursuant to this prospectus, although we will indirectly acquire the Common Units exchanged for shares of our Class A common stock that we may issue to an exchanging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tx102469_8"/>
      <w:bookmarkEnd w:id="9"/>
      <w:r>
        <w:rPr>
          <w:rFonts w:ascii="Times New Roman" w:hAnsi="Times New Roman"/>
          <w:b/>
          <w:sz w:val="20"/>
        </w:rPr>
        <w:t xml:space="preserve">EXCHANGE OF COMMON UNITS </w:t>
      </w:r>
    </w:p>
    <w:p>
      <w:pPr>
        <w:pStyle w:val="TextBody"/>
        <w:bidi w:val="0"/>
        <w:spacing w:before="240" w:after="0"/>
        <w:jc w:val="left"/>
        <w:rPr>
          <w:rFonts w:ascii="Times New Roman" w:hAnsi="Times New Roman"/>
          <w:sz w:val="20"/>
        </w:rPr>
      </w:pPr>
      <w:r>
        <w:rPr>
          <w:rFonts w:ascii="Times New Roman" w:hAnsi="Times New Roman"/>
          <w:sz w:val="20"/>
        </w:rPr>
        <w:t xml:space="preserve">We, certain of our wholly-owned subsidiaries, TPG Operating Group and the other parties thereto entered into the Exchange Agreement under which the holders of Common Units have the right to have their Common Units redeemed by TPG Operating Group once each quarter (or, subject to certain limitations, otherwise from time to time) in exchange for cash from a substantially concurrent primary equity offering (based on the closing price per share of our Class A common stock on the day before the pricing of such primary equity offering (taking into account customary brokerage commissions or underwriting discounts actually incurred)) or, at our applicable affiliate’s election, for shares of our Class A common stock on a one-for-one basis (or, in certain cases, for shares of our nonvoting Class A common stock). Additionally, in the event of a redemption request by a holder of Common Units, we (or our subsidiary, TPG OpCo Holdings, L.P.) may, at our election, effect a direct exchange of cash from a substantially concurrent primary equity offering (based on the price described above), shares of our Class A common stock or shares of our nonvoting Class A common stock for Common Units in lieu of such a redemption. In connection with any such election in which we cause our subsidiary, TPG OpCo Holdings, L.P., to deliver shares of our Class A common stock, we are registering the issuance of such shares to exchanging holders of Common Units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Common Units exchangeable for the Unissued Shares were not permitted to be exchanged prior to the filing of the respective Prior Registration Statements. We are registering the issuance of shares of our Class A common stock to permit holders of Common Units who exchange their Common Units to sell without restriction in the open market (or otherwise) any shares of our Class A common stock that they receive upon exchange. However, the registration of our Class A common stock does not alter the vesting requirements or any transfer restrictions applicable to the Common Units. We may impose additional restrictions on exchanges that we determine to be necessary or advisable so that TPG Operating Group is not treated as a “publicly traded partnership” for U.S. federal income tax purposes or violate laws or regulations (including those applicable to trading while in possession, or deemed to be in possession, of material, non-public information). In addition, GP LLC may block exchanges by holders of Common Units or indirect beneficial interests in Common Units, in certain limited circumstances prior to the Sunset.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tx102469_9"/>
      <w:bookmarkEnd w:id="10"/>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summarizes important terms of our capital stock. See “Description of the Registrant’s Securities” contained in Exhibit 4.1 to our Annual Report for a summary of important terms of our capital stock as in effect as of the date of this registration statement. This summary does not purport to be complete and is qualified in its entirety by (i) the provisions of our Restated Certificate of Incorporation and our Certificate of Amendment of Restated Certificate of Incorporation (collectively, our “certificate of incorporation”) and our bylaws (our “bylaws”), each of which is incorporated by reference as an exhibit to our Current Report on Form 8-K filed November 13, 2023, our Current Report on Form 8-K filed on June 6, 2024 and our Current Report on Form 8-K filed on June 12, 2023, respectively, and (ii) certain applicable provisions of Delaware law. For more information on how you can obtain our certificate of incorporation and bylaws, see “Where You Can Find More Information; 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2,240,000,000 shares of Class A common stock, 100,000,000 shares of nonvoting Class A common stock, 750,000,000 shares of Class B common stock and 25,000,000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Class A Common Stock </w:t>
      </w:r>
    </w:p>
    <w:p>
      <w:pPr>
        <w:pStyle w:val="TextBody"/>
        <w:bidi w:val="0"/>
        <w:spacing w:before="120" w:after="0"/>
        <w:jc w:val="left"/>
        <w:rPr>
          <w:rFonts w:ascii="Times New Roman" w:hAnsi="Times New Roman"/>
          <w:sz w:val="20"/>
        </w:rPr>
      </w:pPr>
      <w:r>
        <w:rPr>
          <w:rFonts w:ascii="Times New Roman" w:hAnsi="Times New Roman"/>
          <w:i/>
          <w:sz w:val="20"/>
        </w:rPr>
        <w:t>Voting</w:t>
      </w:r>
      <w:r>
        <w:rPr>
          <w:rFonts w:ascii="Times New Roman" w:hAnsi="Times New Roman"/>
          <w:sz w:val="20"/>
        </w:rPr>
        <w:t xml:space="preserve">. Subject to any proportionate adjustment of voting power of the Class A common stock related to the Class A Free Float (as defined below), generally holders of our Class A common stock are entitled to one vote for each share held of record on all matters submitted to a vote of stockholders and do not have the ability to cumulate votes for the election of directors. Holders of our Class A common stock and Class B common stock will vote together as a single class on all matters presented to our stockholders for their vote or approval, except as otherwise required by applicable law. The “Class A Free Float” includes shares of Class A common stock issued and outstanding as adjusted to include only those shares that the Company determines are free float, consistent with the index policy, methodology or guidance, whether written or oral, of the FTSE Russell and any related or successor entities.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Holders of shares of our Class A common stock are entitled to receive dividends when and if declared by our Executive Committee or our board of directors, out of funds legally available therefor, subject to any statutory or contractual restrictions on the payment of dividends and to any restrictions on the payment of dividends imposed by the terms of any outstanding Preferred Stock. </w:t>
      </w:r>
    </w:p>
    <w:p>
      <w:pPr>
        <w:pStyle w:val="TextBody"/>
        <w:bidi w:val="0"/>
        <w:spacing w:before="240" w:after="0"/>
        <w:jc w:val="left"/>
        <w:rPr>
          <w:rFonts w:ascii="Times New Roman" w:hAnsi="Times New Roman"/>
          <w:sz w:val="20"/>
        </w:rPr>
      </w:pPr>
      <w:r>
        <w:rPr>
          <w:rFonts w:ascii="Times New Roman" w:hAnsi="Times New Roman"/>
          <w:i/>
          <w:sz w:val="20"/>
        </w:rPr>
        <w:t>Dissolution and Liquidation</w:t>
      </w:r>
      <w:r>
        <w:rPr>
          <w:rFonts w:ascii="Times New Roman" w:hAnsi="Times New Roman"/>
          <w:sz w:val="20"/>
        </w:rPr>
        <w:t xml:space="preserve">. Upon our dissolution or liquidation or the sale of all or substantially all of our assets, after payment in full of all amounts required to be paid to creditors and to the holders of Preferred Stock having liquidation preferences, if any, the holders of our Class A common stock and nonvoting Class A common stock will be entitled to receive pro rata our remaining assets available for distribution, subject to the limited rights of our Class B common stock as described below. </w:t>
      </w:r>
    </w:p>
    <w:p>
      <w:pPr>
        <w:pStyle w:val="TextBody"/>
        <w:bidi w:val="0"/>
        <w:spacing w:before="240" w:after="0"/>
        <w:jc w:val="left"/>
        <w:rPr>
          <w:rFonts w:ascii="Times New Roman" w:hAnsi="Times New Roman"/>
          <w:sz w:val="20"/>
        </w:rPr>
      </w:pPr>
      <w:r>
        <w:rPr>
          <w:rFonts w:ascii="Times New Roman" w:hAnsi="Times New Roman"/>
          <w:i/>
          <w:sz w:val="20"/>
        </w:rPr>
        <w:t>No Preemptive Rights</w:t>
      </w:r>
      <w:r>
        <w:rPr>
          <w:rFonts w:ascii="Times New Roman" w:hAnsi="Times New Roman"/>
          <w:sz w:val="20"/>
        </w:rPr>
        <w:t xml:space="preserve">. Holders of our Class A common stock do not have preemptive, subscription, redemption or conversion rights. </w:t>
      </w:r>
    </w:p>
    <w:p>
      <w:pPr>
        <w:pStyle w:val="TextBody"/>
        <w:bidi w:val="0"/>
        <w:spacing w:before="240" w:after="0"/>
        <w:jc w:val="left"/>
        <w:rPr>
          <w:rFonts w:ascii="Times New Roman" w:hAnsi="Times New Roman"/>
          <w:sz w:val="20"/>
        </w:rPr>
      </w:pPr>
      <w:r>
        <w:rPr>
          <w:rFonts w:ascii="Times New Roman" w:hAnsi="Times New Roman"/>
          <w:i/>
          <w:sz w:val="20"/>
        </w:rPr>
        <w:t>Issuance of Additional Class</w:t>
      </w:r>
      <w:r>
        <w:rPr>
          <w:rFonts w:ascii="Times New Roman" w:hAnsi="Times New Roman"/>
          <w:sz w:val="20"/>
        </w:rPr>
        <w:t> </w:t>
      </w:r>
      <w:r>
        <w:rPr>
          <w:rFonts w:ascii="Times New Roman" w:hAnsi="Times New Roman"/>
          <w:i/>
          <w:sz w:val="20"/>
        </w:rPr>
        <w:t>A Common Stock</w:t>
      </w:r>
      <w:r>
        <w:rPr>
          <w:rFonts w:ascii="Times New Roman" w:hAnsi="Times New Roman"/>
          <w:sz w:val="20"/>
        </w:rPr>
        <w:t xml:space="preserve">. We may issue additional shares of Class A common stock from time to time, subject to applicable provisions of our certificate of incorporation, bylaws and Delaware law. We are obligated to issue shares of Class A common stock or nonvoting Class A common stock (subject to the transfer and exchange restrictions set forth in the TPG Operating Group Limited Partnership Agreement and the Investor Rights Agreement) to holders who, upon our applicable affiliate’s election, exchange their Common Units for shares of our Class A common stock on a one-for-one basis (unless we do not elect, in which case such exchange will be satisfied for cash from a substantially concurrent primary equity offering). Additionally,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event of a redemption request by a holder of the Common Units, we (or our subsidiary) may, at our election, effect a direct exchange of cash from a substantially concurrent primary equity offering (based on the closing price per share of the Class A common stock on the day before the pricing of such primary equity offering (taking into account customary brokerage commissions or underwriting discounts actually incurred)), Class A common stock or nonvoting Class A common stock for Common Units in lieu of such a redemption. When a Common Unit is exchanged for a share of our Class A common stock, a corresponding share of our Class B common stock will be automatically cancelled for no additional consideration.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Nonvoting Class A Common Stock </w:t>
      </w:r>
    </w:p>
    <w:p>
      <w:pPr>
        <w:pStyle w:val="TextBody"/>
        <w:bidi w:val="0"/>
        <w:spacing w:before="120" w:after="0"/>
        <w:jc w:val="left"/>
        <w:rPr>
          <w:rFonts w:ascii="Times New Roman" w:hAnsi="Times New Roman"/>
          <w:sz w:val="20"/>
        </w:rPr>
      </w:pPr>
      <w:r>
        <w:rPr>
          <w:rFonts w:ascii="Times New Roman" w:hAnsi="Times New Roman"/>
          <w:i/>
          <w:sz w:val="20"/>
        </w:rPr>
        <w:t>Voting</w:t>
      </w:r>
      <w:r>
        <w:rPr>
          <w:rFonts w:ascii="Times New Roman" w:hAnsi="Times New Roman"/>
          <w:sz w:val="20"/>
        </w:rPr>
        <w:t xml:space="preserve">. Holders of shares of nonvoting Class A common stock have no voting rights in respect of such shares other than those voting rights required by law. Nonvoting Class A common stock has the same rights and privileges as, and ranks equally and share ratably with, and is identical in all respects to the Class A common stock, except with respect to voting.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Holders of our nonvoting Class A common stock are entitled to receive dividends when and if declared by our Executive Committee or our board of directors, out of funds legally available therefor, subject to any statutory or contractual restrictions on the payment of dividends and to any restrictions on the payment of dividends imposed by the terms of any outstanding Preferred Stock. </w:t>
      </w:r>
    </w:p>
    <w:p>
      <w:pPr>
        <w:pStyle w:val="TextBody"/>
        <w:bidi w:val="0"/>
        <w:spacing w:before="240" w:after="0"/>
        <w:jc w:val="left"/>
        <w:rPr>
          <w:rFonts w:ascii="Times New Roman" w:hAnsi="Times New Roman"/>
          <w:sz w:val="20"/>
        </w:rPr>
      </w:pPr>
      <w:r>
        <w:rPr>
          <w:rFonts w:ascii="Times New Roman" w:hAnsi="Times New Roman"/>
          <w:i/>
          <w:sz w:val="20"/>
        </w:rPr>
        <w:t>Dissolution and Liquidation</w:t>
      </w:r>
      <w:r>
        <w:rPr>
          <w:rFonts w:ascii="Times New Roman" w:hAnsi="Times New Roman"/>
          <w:sz w:val="20"/>
        </w:rPr>
        <w:t xml:space="preserve">. Upon our dissolution or liquidation or the sale of all or substantially all of our assets, after payment in full of all amounts required to be paid to creditors and to the holders of Preferred Stock having liquidation preferences, if any, the holders of our Class A common stock and nonvoting Class A common stock will be entitled to receive pro rata our remaining assets available for distribution, subject to the limited rights of the Class B common stock as described below. </w:t>
      </w:r>
    </w:p>
    <w:p>
      <w:pPr>
        <w:pStyle w:val="TextBody"/>
        <w:bidi w:val="0"/>
        <w:spacing w:before="240" w:after="0"/>
        <w:jc w:val="left"/>
        <w:rPr>
          <w:rFonts w:ascii="Times New Roman" w:hAnsi="Times New Roman"/>
          <w:sz w:val="20"/>
        </w:rPr>
      </w:pPr>
      <w:r>
        <w:rPr>
          <w:rFonts w:ascii="Times New Roman" w:hAnsi="Times New Roman"/>
          <w:i/>
          <w:sz w:val="20"/>
        </w:rPr>
        <w:t>No Preemptive Rights</w:t>
      </w:r>
      <w:r>
        <w:rPr>
          <w:rFonts w:ascii="Times New Roman" w:hAnsi="Times New Roman"/>
          <w:sz w:val="20"/>
        </w:rPr>
        <w:t xml:space="preserve">. Holders of our nonvoting Class A common stock do not have preemptive, subscription, redemption or conversion rights. </w:t>
      </w:r>
    </w:p>
    <w:p>
      <w:pPr>
        <w:pStyle w:val="TextBody"/>
        <w:bidi w:val="0"/>
        <w:spacing w:before="240" w:after="0"/>
        <w:jc w:val="left"/>
        <w:rPr>
          <w:rFonts w:ascii="Times New Roman" w:hAnsi="Times New Roman"/>
          <w:sz w:val="20"/>
        </w:rPr>
      </w:pPr>
      <w:r>
        <w:rPr>
          <w:rFonts w:ascii="Times New Roman" w:hAnsi="Times New Roman"/>
          <w:i/>
          <w:sz w:val="20"/>
        </w:rPr>
        <w:t>Issuance of Additional Nonvoting Class</w:t>
      </w:r>
      <w:r>
        <w:rPr>
          <w:rFonts w:ascii="Times New Roman" w:hAnsi="Times New Roman"/>
          <w:sz w:val="20"/>
        </w:rPr>
        <w:t> </w:t>
      </w:r>
      <w:r>
        <w:rPr>
          <w:rFonts w:ascii="Times New Roman" w:hAnsi="Times New Roman"/>
          <w:i/>
          <w:sz w:val="20"/>
        </w:rPr>
        <w:t>A Common Stock</w:t>
      </w:r>
      <w:r>
        <w:rPr>
          <w:rFonts w:ascii="Times New Roman" w:hAnsi="Times New Roman"/>
          <w:sz w:val="20"/>
        </w:rPr>
        <w:t xml:space="preserve">. We may issue additional shares of nonvoting Class A common stock from time to time, subject to applicable provisions of our certificate of incorporation, bylaws and Delaware law. </w:t>
      </w:r>
    </w:p>
    <w:p>
      <w:pPr>
        <w:pStyle w:val="TextBody"/>
        <w:bidi w:val="0"/>
        <w:spacing w:before="240" w:after="0"/>
        <w:jc w:val="left"/>
        <w:rPr>
          <w:rFonts w:ascii="Times New Roman" w:hAnsi="Times New Roman"/>
          <w:sz w:val="20"/>
        </w:rPr>
      </w:pPr>
      <w:r>
        <w:rPr>
          <w:rFonts w:ascii="Times New Roman" w:hAnsi="Times New Roman"/>
          <w:i/>
          <w:sz w:val="20"/>
        </w:rPr>
        <w:t>Conversion</w:t>
      </w:r>
      <w:r>
        <w:rPr>
          <w:rFonts w:ascii="Times New Roman" w:hAnsi="Times New Roman"/>
          <w:sz w:val="20"/>
        </w:rPr>
        <w:t xml:space="preserve">. The nonvoting Class A common stock will not be convertible to Class A common stock until such time as they are transferred to a third party as and when permitted by the Investor Rights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B Common Stock </w:t>
      </w:r>
    </w:p>
    <w:p>
      <w:pPr>
        <w:pStyle w:val="TextBody"/>
        <w:bidi w:val="0"/>
        <w:spacing w:before="120" w:after="0"/>
        <w:jc w:val="left"/>
        <w:rPr>
          <w:rFonts w:ascii="Times New Roman" w:hAnsi="Times New Roman"/>
          <w:sz w:val="20"/>
        </w:rPr>
      </w:pPr>
      <w:r>
        <w:rPr>
          <w:rFonts w:ascii="Times New Roman" w:hAnsi="Times New Roman"/>
          <w:i/>
          <w:sz w:val="20"/>
        </w:rPr>
        <w:t>Voting</w:t>
      </w:r>
      <w:r>
        <w:rPr>
          <w:rFonts w:ascii="Times New Roman" w:hAnsi="Times New Roman"/>
          <w:sz w:val="20"/>
        </w:rPr>
        <w:t xml:space="preserve">. Holders of our Class B common stock are generally entitled to ten votes for each share held of record on all matters submitted to a vote of stockholders prior to the Sunset; provided that, prior to the Sunset, in the event that the voting power of the Class A Free Float does not equal at least 5.1% of the aggregate voting power of all outstanding Class A common stock and Class B common stock voting together as of any record date for a vote of stockholders, the voting power of the Class B common stock will be reduced proportionately until the voting power of the Class A Free Float is at least 5.1% of the total number of votes entitled to be cast by the holders of all shares of capital stock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Holders of our voting Class A common stock and Class B common stock will vote together as a single class on all matters presented to our stockholders for their vote or approval, except as otherwise required by applicable law.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Holders of the Class B common stock are not entitled to dividends in respect of their shares of Class B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Dissolution and Liquidation</w:t>
      </w:r>
      <w:r>
        <w:rPr>
          <w:rFonts w:ascii="Times New Roman" w:hAnsi="Times New Roman"/>
          <w:sz w:val="20"/>
        </w:rPr>
        <w:t xml:space="preserve">. Upon our dissolution or liquidation or the sale of all or substantially all of our assets, after payment in full of all amounts required to be paid to creditors and to the holders of Preferred Stock having liquidation preferences, if any, the holders of our Class B common stock shall be entitled to $0.001 per share. In connection with an exchange of a Common Unit for Class A common stock, the corresponding share of our Class B common stock will be automatically cancelled for no additional consideration. </w:t>
      </w:r>
    </w:p>
    <w:p>
      <w:pPr>
        <w:pStyle w:val="TextBody"/>
        <w:bidi w:val="0"/>
        <w:spacing w:before="240" w:after="0"/>
        <w:jc w:val="left"/>
        <w:rPr>
          <w:rFonts w:ascii="Times New Roman" w:hAnsi="Times New Roman"/>
          <w:sz w:val="20"/>
        </w:rPr>
      </w:pPr>
      <w:r>
        <w:rPr>
          <w:rFonts w:ascii="Times New Roman" w:hAnsi="Times New Roman"/>
          <w:i/>
          <w:sz w:val="20"/>
        </w:rPr>
        <w:t>No Preemptive Rights</w:t>
      </w:r>
      <w:r>
        <w:rPr>
          <w:rFonts w:ascii="Times New Roman" w:hAnsi="Times New Roman"/>
          <w:sz w:val="20"/>
        </w:rPr>
        <w:t xml:space="preserve">. Holders of our Class B common stock do not have preemptive, subscription or conversion rights. The Class B common stock is subject to redemption upon an exchange of a Common Unit for a share of Class A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Issuance of Additional 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certificate of incorporation, we will issue a number of shares of Class B common stock equal to the aggregate number of Common Units issued by TPG Operating Group to such holder of Common Units, for no additional consideration. </w:t>
      </w:r>
    </w:p>
    <w:p>
      <w:pPr>
        <w:pStyle w:val="TextBody"/>
        <w:bidi w:val="0"/>
        <w:spacing w:before="240" w:after="0"/>
        <w:jc w:val="left"/>
        <w:rPr>
          <w:rFonts w:ascii="Times New Roman" w:hAnsi="Times New Roman"/>
          <w:sz w:val="20"/>
        </w:rPr>
      </w:pPr>
      <w:r>
        <w:rPr>
          <w:rFonts w:ascii="Times New Roman" w:hAnsi="Times New Roman"/>
          <w:sz w:val="20"/>
        </w:rPr>
        <w:t xml:space="preserve">If any outstanding share of Class B common stock shall cease to be held by a holder of a Common Unit, such share shall automatically be transferred to us, shall no longer be outstanding, and all rights with respect to such share shall automatically cease and terminate. </w:t>
      </w:r>
    </w:p>
    <w:p>
      <w:pPr>
        <w:pStyle w:val="TextBody"/>
        <w:bidi w:val="0"/>
        <w:spacing w:before="240" w:after="0"/>
        <w:jc w:val="left"/>
        <w:rPr>
          <w:rFonts w:ascii="Times New Roman" w:hAnsi="Times New Roman"/>
          <w:sz w:val="20"/>
        </w:rPr>
      </w:pPr>
      <w:r>
        <w:rPr>
          <w:rFonts w:ascii="Times New Roman" w:hAnsi="Times New Roman"/>
          <w:sz w:val="20"/>
        </w:rPr>
        <w:t xml:space="preserve">Additional shares of Class B common stock may also be issued in connection with a stock split, stock dividend, reclassification or similar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Coordination with TPG Operating Group </w:t>
      </w:r>
    </w:p>
    <w:p>
      <w:pPr>
        <w:pStyle w:val="TextBody"/>
        <w:bidi w:val="0"/>
        <w:spacing w:before="120" w:after="0"/>
        <w:jc w:val="left"/>
        <w:rPr>
          <w:rFonts w:ascii="Times New Roman" w:hAnsi="Times New Roman"/>
          <w:sz w:val="20"/>
        </w:rPr>
      </w:pPr>
      <w:r>
        <w:rPr>
          <w:rFonts w:ascii="Times New Roman" w:hAnsi="Times New Roman"/>
          <w:sz w:val="20"/>
        </w:rPr>
        <w:t xml:space="preserve">At any time we issue a share of Class A common stock for cash, (i) the net proceeds received by us will be promptly transferred to TPG Operating Group, and TPG Operating Group will issue to us a Common Unit, or (ii) we will acquire a Common Unit from an existing holder. If at any time we issue a share of Class A common stock pursuant to our equity plan or otherwise, we will contribute to TPG Operating Group all of the proceeds that we receive (if any), and TPG Operating Group will issue to us an equal number of its Common Units, having the same restrictions, if any, as are attached to the shares of Class A common stock issued under the plan. If at any time we issue a share of our Class A common stock upon an exchange of a Common Unit, we will retain such Common Unit. In the event that we issue other classes or series of our equity securities, TPG Operating Group will issue to us an equal amount of equity securities of TPG Operating Group with designations, preferences and other rights and terms that are substantially the same as our newly issued equity securities. Conversely, if we retire any shares of our Class A common stock (or our equity securities of other classes or series) for cash, TPG Operating Group will, immediately prior to such retirement, redeem an equal number of Common Units (or its equity securities of the corresponding classes or series) held by us, upon the same terms and for the same price, as the shares of Class A common stock (or our equity securities of such other classes or series) are retired. In addition, Common Units, as well as our common stock, will be subject to equivalent stock splits, dividends, reclassifications and other subdivisions. Lastly, holders of Common Units will be subject to certain restrictions on transfer as set forth in the Investor Rights Agreement and the TPG Operating Group Limited Partnership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to issue Preferred Stock in one or more classes or series and to fix the rights, preferences, privileges and related restrictions, including dividend rights, dividend rates, conversion rights, voting rights, the right to elect directors, terms of redemption, any sinking fund for the redemption, redemption prices, liquidation preferences and the number of shares constituting any class or series, or the designation of the class or series, without the approval of our stockholders, subject to the consent of our Founders.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authority of our board of directors to issue Preferred Stock without approval of our stockholders may have the effect of delaying, deferring or preventing a change in control of our company and may adversely affect the voting and other rights of the holders of our common stock. The issuance of Preferred Stock with voting and conversion rights may adversely affect the voting power of the holders of our common stock, including the loss of voting control to others.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but Unissued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Delaware law does not require stockholder approval for any issuance of authorized shares. These additional shares may be used for a variety of corporate purposes, including future public offerings, to raise additional capital or to facilitate acquisitions.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of common stock at prices higher than prevailing market prices.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Delaware Law and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our certificate of incorporation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are primarily designed to reduce our vulnerability to an unsolicited acquisition proposal or proxy fight.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certain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include: </w:t>
      </w:r>
    </w:p>
    <w:p>
      <w:pPr>
        <w:pStyle w:val="TextBody"/>
        <w:bidi w:val="0"/>
        <w:spacing w:before="120" w:after="0"/>
        <w:jc w:val="left"/>
        <w:rPr>
          <w:rFonts w:ascii="Times New Roman" w:hAnsi="Times New Roman"/>
          <w:sz w:val="20"/>
        </w:rPr>
      </w:pPr>
      <w:r>
        <w:rPr>
          <w:rFonts w:ascii="Times New Roman" w:hAnsi="Times New Roman"/>
          <w:i/>
          <w:sz w:val="20"/>
        </w:rPr>
        <w:t>Super Voting Stock</w:t>
      </w:r>
      <w:r>
        <w:rPr>
          <w:rFonts w:ascii="Times New Roman" w:hAnsi="Times New Roman"/>
          <w:sz w:val="20"/>
        </w:rPr>
        <w:t xml:space="preserve">. The Class A common stock and Class B common stock will vote together on all matters on which stockholders are entitled to vote, except as set forth in our certificate of incorporation or required by applicable law. However, prior to the Sunset, the Class B common stock are entitled to ten votes per share and the Class A common stock generally are entitled to one vote per share. Consequently, the holders of our Class B common stock will generally control matters brought to stockholders for a vote, including the election of directors. </w:t>
      </w:r>
    </w:p>
    <w:p>
      <w:pPr>
        <w:pStyle w:val="TextBody"/>
        <w:bidi w:val="0"/>
        <w:spacing w:before="240" w:after="0"/>
        <w:jc w:val="left"/>
        <w:rPr>
          <w:rFonts w:ascii="Times New Roman" w:hAnsi="Times New Roman"/>
          <w:sz w:val="20"/>
        </w:rPr>
      </w:pPr>
      <w:r>
        <w:rPr>
          <w:rFonts w:ascii="Times New Roman" w:hAnsi="Times New Roman"/>
          <w:i/>
          <w:sz w:val="20"/>
        </w:rPr>
        <w:t>Board Structure</w:t>
      </w:r>
      <w:r>
        <w:rPr>
          <w:rFonts w:ascii="Times New Roman" w:hAnsi="Times New Roman"/>
          <w:sz w:val="20"/>
        </w:rPr>
        <w:t xml:space="preserve">. Our certificate of incorporation and bylaws provide for one class of directors each of whom will serve for one-year terms with annual elections, subject to the terms specified in the GP LLC LLCA. Upon the expiration of the initial term of office for each class of directors, each director in such class shall be elected for a term of one year and shall serve until a successor is duly elected and qualified or until his or her earlier death, resignation or removal, subject to the terms of the GP LLC LLCA, which provides that (i) each of our Founders and Mr. Winkelried will be re-elected by the Control Group at each annual meeting of stockholders until the Sunset, (ii) each of our management directors will be elected by the Control Group for at least two consecutive terms and (iii) each of our independent directors will be re-elected by the Control Group at each annual meeting of stockholders (unless removed by a majority of the Control Group for cause) until the expansion of the Control Group to five members, at which point the independent directors will be eligible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re-election by a majority of the members of the Control Group until the Sunset. Prior to the Sunset, vacancies occurring on the board of directors, whether due to death, resignation, removal, retirement, disqualification or for any other reason, and newly created directorships resulting from an increase in the authorized number of directors, if any, shall be filled by the Control Group. Prior to the Sunset, the Control Group has the sole ability to elect the members of our board of directors. </w:t>
      </w:r>
    </w:p>
    <w:p>
      <w:pPr>
        <w:pStyle w:val="TextBody"/>
        <w:bidi w:val="0"/>
        <w:spacing w:before="240" w:after="0"/>
        <w:jc w:val="left"/>
        <w:rPr>
          <w:rFonts w:ascii="Times New Roman" w:hAnsi="Times New Roman"/>
          <w:sz w:val="20"/>
        </w:rPr>
      </w:pPr>
      <w:r>
        <w:rPr>
          <w:rFonts w:ascii="Times New Roman" w:hAnsi="Times New Roman"/>
          <w:i/>
          <w:sz w:val="20"/>
        </w:rPr>
        <w:t>Action by Written Consent; Special Meetings of Stockholders</w:t>
      </w:r>
      <w:r>
        <w:rPr>
          <w:rFonts w:ascii="Times New Roman" w:hAnsi="Times New Roman"/>
          <w:sz w:val="20"/>
        </w:rPr>
        <w:t xml:space="preserve">. Our certificate of incorporation provides that prior to the Sunset, stockholders may act by written consent instead of a meeting for any action required or permitted to be taken by the stockholders at a duly called annual or special meeting of stockholders, subject to the rights of any holders of Preferred Stock. In addition, our certificate of incorporation and bylaws provide that special meetings of stockholders may be called at any time, but only by the board of directors or any of the non-executive chairman, executive chairman or CEO. </w:t>
      </w:r>
    </w:p>
    <w:p>
      <w:pPr>
        <w:pStyle w:val="TextBody"/>
        <w:bidi w:val="0"/>
        <w:spacing w:before="240" w:after="0"/>
        <w:jc w:val="left"/>
        <w:rPr>
          <w:rFonts w:ascii="Times New Roman" w:hAnsi="Times New Roman"/>
          <w:sz w:val="20"/>
        </w:rPr>
      </w:pPr>
      <w:r>
        <w:rPr>
          <w:rFonts w:ascii="Times New Roman" w:hAnsi="Times New Roman"/>
          <w:i/>
          <w:sz w:val="20"/>
        </w:rPr>
        <w:t>Election and Removal of Directors</w:t>
      </w:r>
      <w:r>
        <w:rPr>
          <w:rFonts w:ascii="Times New Roman" w:hAnsi="Times New Roman"/>
          <w:sz w:val="20"/>
        </w:rPr>
        <w:t xml:space="preserve">. The DGCL provides that stockholders are not entitled to the right to cumulate votes in the election of directors unless our certificate of incorporation provides otherwise. Our certificate of incorporation does not expressly provide for cumulative voting. </w:t>
      </w:r>
    </w:p>
    <w:p>
      <w:pPr>
        <w:pStyle w:val="TextBody"/>
        <w:bidi w:val="0"/>
        <w:spacing w:before="240" w:after="0"/>
        <w:jc w:val="left"/>
        <w:rPr>
          <w:rFonts w:ascii="Times New Roman" w:hAnsi="Times New Roman"/>
          <w:sz w:val="20"/>
        </w:rPr>
      </w:pPr>
      <w:r>
        <w:rPr>
          <w:rFonts w:ascii="Times New Roman" w:hAnsi="Times New Roman"/>
          <w:sz w:val="20"/>
        </w:rPr>
        <w:t xml:space="preserve">Subject to any preferred designation, and to the limitations and requirements set forth in the GP LLC LLCA, our directors may be removed with or without cause, but only upon the affirmative vote of holders of at least a majority of the voting power of the outstanding shares of our capital stock entitled to vote generally in the election of directors, voting together as a single class. In addition, any certificate of designation pursuant to which a particular series of Preferred Stock is issued may provide holders of that series of Preferred Stock with the right to elect additional directors. Pursuant to the GP LLC LLCA, the management directors cannot be removed without cause prior to the end of two consecutive one-year terms. </w:t>
      </w:r>
    </w:p>
    <w:p>
      <w:pPr>
        <w:pStyle w:val="TextBody"/>
        <w:bidi w:val="0"/>
        <w:spacing w:before="240" w:after="0"/>
        <w:jc w:val="left"/>
        <w:rPr>
          <w:rFonts w:ascii="Times New Roman" w:hAnsi="Times New Roman"/>
          <w:sz w:val="20"/>
        </w:rPr>
      </w:pPr>
      <w:r>
        <w:rPr>
          <w:rFonts w:ascii="Times New Roman" w:hAnsi="Times New Roman"/>
          <w:i/>
          <w:sz w:val="20"/>
        </w:rPr>
        <w:t>Authorized but Unissued Shares</w:t>
      </w:r>
      <w:r>
        <w:rPr>
          <w:rFonts w:ascii="Times New Roman" w:hAnsi="Times New Roman"/>
          <w:sz w:val="20"/>
        </w:rPr>
        <w:t xml:space="preserve">. The authorized but unissued shares of common stock and Preferred Stock are available for future issuance without stockholder approval, subject to any limitations imposed by the listing rules of NASDAQ. The existence of authorized but unissued and unreserved common stock and Preferred Stock could make more difficult or discourage an attempt to obtain control of us by means of a proxy contest, tender offer, merger or otherwise. See “—Preferred Stock” and “—Authorized but Unissued Capital Stock” above. </w:t>
      </w:r>
    </w:p>
    <w:p>
      <w:pPr>
        <w:pStyle w:val="TextBody"/>
        <w:bidi w:val="0"/>
        <w:spacing w:before="240" w:after="0"/>
        <w:jc w:val="left"/>
        <w:rPr>
          <w:rFonts w:ascii="Times New Roman" w:hAnsi="Times New Roman"/>
          <w:sz w:val="20"/>
        </w:rPr>
      </w:pPr>
      <w:r>
        <w:rPr>
          <w:rFonts w:ascii="Times New Roman" w:hAnsi="Times New Roman"/>
          <w:i/>
          <w:sz w:val="20"/>
        </w:rPr>
        <w:t>Business Combinations with Interested Stockholders</w:t>
      </w:r>
      <w:r>
        <w:rPr>
          <w:rFonts w:ascii="Times New Roman" w:hAnsi="Times New Roman"/>
          <w:sz w:val="20"/>
        </w:rPr>
        <w:t xml:space="preserve">. In general, Section 203 of the DGCL, an anti-takeover law, prohibits a publicly held Delaware 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 </w:t>
      </w:r>
    </w:p>
    <w:p>
      <w:pPr>
        <w:pStyle w:val="TextBody"/>
        <w:bidi w:val="0"/>
        <w:spacing w:before="240" w:after="0"/>
        <w:jc w:val="left"/>
        <w:rPr>
          <w:rFonts w:ascii="Times New Roman" w:hAnsi="Times New Roman"/>
          <w:sz w:val="20"/>
        </w:rPr>
      </w:pPr>
      <w:r>
        <w:rPr>
          <w:rFonts w:ascii="Times New Roman" w:hAnsi="Times New Roman"/>
          <w:sz w:val="20"/>
        </w:rPr>
        <w:t xml:space="preserve">We elected in our certificate of incorporation that we are not subject to Section 203. However, our certificate of incorporation contains provisions that have the same effect as Section 203, except that they provide that GP LLC, affiliates of GP LLC, and their respective direct and indirect permitted transferees (other than TPG or any of our direct and indirect subsidiaries) are not deemed to be “interested stockholders,” regardless of the percentage of our voting stock owned by them, and accordingly are not subject to such restrictions. </w:t>
      </w:r>
    </w:p>
    <w:p>
      <w:pPr>
        <w:pStyle w:val="TextBody"/>
        <w:bidi w:val="0"/>
        <w:spacing w:before="240" w:after="0"/>
        <w:jc w:val="left"/>
        <w:rPr>
          <w:rFonts w:ascii="Times New Roman" w:hAnsi="Times New Roman"/>
          <w:sz w:val="20"/>
        </w:rPr>
      </w:pPr>
      <w:r>
        <w:rPr>
          <w:rFonts w:ascii="Times New Roman" w:hAnsi="Times New Roman"/>
          <w:i/>
          <w:sz w:val="20"/>
        </w:rPr>
        <w:t>Corporate Opportunities</w:t>
      </w:r>
      <w:r>
        <w:rPr>
          <w:rFonts w:ascii="Times New Roman" w:hAnsi="Times New Roman"/>
          <w:sz w:val="20"/>
        </w:rPr>
        <w:t xml:space="preserve">. Our certificate of incorporation provides that we have waived certain corporate opportunities as identified in the GP LLC LLCA, such that GP LLC and the other persons specified therein shall not be liable to TPG, our affiliates or our stockholders for breach of any fiduciary duty as a stockholder or director of TPG from pursuit of such opportunities. </w:t>
      </w:r>
    </w:p>
    <w:p>
      <w:pPr>
        <w:pStyle w:val="TextBody"/>
        <w:bidi w:val="0"/>
        <w:spacing w:before="240" w:after="0"/>
        <w:jc w:val="left"/>
        <w:rPr>
          <w:rFonts w:ascii="Times New Roman" w:hAnsi="Times New Roman"/>
          <w:sz w:val="20"/>
        </w:rPr>
      </w:pPr>
      <w:r>
        <w:rPr>
          <w:rFonts w:ascii="Times New Roman" w:hAnsi="Times New Roman"/>
          <w:i/>
          <w:sz w:val="20"/>
        </w:rPr>
        <w:t>Advance Notice Provisions</w:t>
      </w:r>
      <w:r>
        <w:rPr>
          <w:rFonts w:ascii="Times New Roman" w:hAnsi="Times New Roman"/>
          <w:sz w:val="20"/>
        </w:rPr>
        <w:t xml:space="preserve">. Our bylaws require stockholders seeking to nominate persons for election as directors at an annual or special meeting of stockholders, or to bring other business before an annual or special meeting (other than a proposal submitted under Rule 14a-8 under the Exchange Act, which must be submitted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accordance with such rule), to provide timely notice in writing. A stockholder’s notice to our corporate secretary must be in proper written form and must set forth certain information, as required under our bylaws, related to the stockholder giving the notice, the beneficial owner (if any) on whose behalf the nomination is made as well as their control persons and information about the proposal or nominee for election to the board of directors. </w:t>
      </w:r>
    </w:p>
    <w:p>
      <w:pPr>
        <w:pStyle w:val="TextBody"/>
        <w:bidi w:val="0"/>
        <w:spacing w:before="240" w:after="0"/>
        <w:jc w:val="left"/>
        <w:rPr>
          <w:rFonts w:ascii="Times New Roman" w:hAnsi="Times New Roman"/>
          <w:sz w:val="20"/>
        </w:rPr>
      </w:pPr>
      <w:r>
        <w:rPr>
          <w:rFonts w:ascii="Times New Roman" w:hAnsi="Times New Roman"/>
          <w:i/>
          <w:sz w:val="20"/>
        </w:rPr>
        <w:t>Exclusive Forum</w:t>
      </w:r>
      <w:r>
        <w:rPr>
          <w:rFonts w:ascii="Times New Roman" w:hAnsi="Times New Roman"/>
          <w:sz w:val="20"/>
        </w:rPr>
        <w:t xml:space="preserve">. Our certificate of incorporation provides that, unless we consent in writing to an alternative forum, the Court of Chancery of the State of Delaware shall, to the fullest extent permitted by law, be the sole and exclusive forum for any (i) derivative action or proceeding brought on our behalf, (ii) action asserting a claim of breach of a fiduciary duty or other wrongdoing by any current or former director, officer, employee, agent or stockholder to us or our stockholders, (iii) action asserting a claim arising pursuant to any provision of the DGCL, our certificate of incorporation or our bylaws or as to which the DGCL confers jurisdiction on the Court of Chancery of the State of Delaware, or (iv) action asserting a claim governed by the internal affairs doctrine of the law of the State of Delaware. Our certificate of incorporation also provides that the foregoing exclusive forum provision does not apply to actions brought to enforce any liability or duty created by the Securities Act or the Exchange Act, or any other claim or cause of action for which the federal courts have exclusive jurisdiction.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certificate of incorporation also provides that the federal district courts of the United States of America shall be the sole and exclusive forum for the resolution of any action asserting a claim arising under the Securities Act, or the rules and regulations promulgated thereunder. However, Section 22 of the Securities Act creates concurrent jurisdiction for federal and state courts over all suits asserting a claim arising under the Securities Act or the rules and regulations promulgated thereunder; accordingly, we cannot be certain that a court would enforce such provision. Pursuant to the Exchange Act, claims arising thereunder must be brought in federal district courts of the 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law, any person or entity purchasing or otherwise acquiring or holding any interest in any shares of our capital stock shall be deemed to have notice of and consented to the forum provision in our certificate of incorporation. In any case, stockholders will not be deemed to have waived (and cannot waive) compliance with the federal securities laws and the rules and regulations promulgated thereunder. The enforceability of similar choice of forum provisions in other companies’ certificates of incorporation has been challenged in legal proceedings, and it is possible that a court could find these types of provisions to be inapplicable or unenforceable. Our certificate of incorporation also provides that any person or entity purchasing or otherwise acquiring any interest in shares of our capital stock will be deemed to have notice of and consented to this choice of forum provision. These exclusive forum provisions may have the effect of discouraging lawsuits against our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provisions of the Investor Rights Agreement could have the effect of deterring or facilitating a control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indemnification for our directors and officers to the fullest extent permitted by Delaware law, subject to certain exceptions contained in our bylaws. We have entered into indemnification agreements with each of our directors and officers (as defined under Rule 16a-1(f) under the Exchange Act) that may, in some cases, be broader than the specific indemnification provisions contained under Delaware law. In addition, as permitted by Delaware law, our certificate of incorporation and bylaws include provisions that eliminate the personal liability of our directors or officers (each as defined under Section 102(b)(7) of the DGCL) for monetary damages resulting from breaches of certain fiduciary duties as a director or officer, respectively, except to the extent such exemption from liability or limitation thereof is not permitted under the DGCL as the same exists or may hereafter be amended. The effect of this provision is to restrict our rights and the rights of our stockholders in derivative suits to recover monetary damages against a director or officer for breach of fiduciary duties as a director or officer,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Class A common stock is Equiniti Trust Company, LLC.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Class A common stock is listed on NASDAQ under the symbol “TPG.”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tx102469_10"/>
      <w:bookmarkEnd w:id="11"/>
      <w:r>
        <w:rPr>
          <w:rFonts w:ascii="Times New Roman" w:hAnsi="Times New Roman"/>
          <w:b/>
          <w:sz w:val="20"/>
        </w:rPr>
        <w:t xml:space="preserve">COMPARISON OF OWNERSHIP OF CLASS A COMMON STOCK AND COMMON UNITS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highlights a number of the significant differences between the rights and privileges associated with ownership of Class A common stock of TPG and the Common Units. This discussion is intended to assist holders of Common Units in understanding how their investment will change if their Common Units are exchanged for Class A common stock. The following information is summary in nature and is not intended to describe all the differences between the Common Units and Class A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2"/>
        <w:gridCol w:w="4798"/>
      </w:tblGrid>
      <w:tr>
        <w:trPr/>
        <w:tc>
          <w:tcPr>
            <w:tcW w:w="520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Class A Common Stock</w:t>
            </w:r>
          </w:p>
        </w:tc>
        <w:tc>
          <w:tcPr>
            <w:tcW w:w="202"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Common Units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rPr>
            </w:pPr>
            <w:r>
              <w:rPr>
                <w:b/>
              </w:rPr>
              <w:t>Form of Organization</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TPG is a Delaware corporation.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TPG Operating Group is a Delaware limited partnership.</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rPr>
            </w:pPr>
            <w:r>
              <w:rPr>
                <w:b/>
              </w:rPr>
              <w:t>Management</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Management of TPG is overseen by the board of directors and the Executive Committee.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A wholly owned subsidiary of TPG is the general partner of TPG Operating Group. The business, property and affairs of TPG Operating Group are managed under the sole, absolute and exclusive direction of the general partner.</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rPr>
            </w:pPr>
            <w:r>
              <w:rPr>
                <w:b/>
              </w:rPr>
              <w:t>Additional Equity</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TPG’s authorized capital stock consists of 2,240,000,000 shares of Class A common stock, 100,000,000 shares of nonvoting Class A common stock, 750,000,000 shares of Class B common stock and 25,000,000 shares of Preferred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authorized but unissued shares of common stock and Preferred Stock are available for future issuance without stockholder approval, subject to any limitations imposed by the listing rules of NASDAQ.</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The general partner may authorize and issue, from time to time, other units or equity securities of any type, class or series and having the designations, preferences or special rights as may be determined by the general partner. When any such other units or equity securities are authorized and issued, the TPG Operating Group Limited Partnership Agreement shall be amended by the general partner to reflect such additional issuances.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rPr>
            </w:pPr>
            <w:r>
              <w:rPr>
                <w:b/>
              </w:rPr>
              <w:t>Dividends and Distributions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Holders of shares of our Class A common stock and our nonvoting Class A common stock are entitled to receive dividends when and if declared by our Executive Committee or our board of directors, out of funds legally available therefor, subject to any statutory or contractual restrictions on the payment of dividends and to any restrictions on the payment of dividends imposed by the terms of any outstanding Preferred Stock.</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Holders of Class B common stock are not entitled to dividends in respect of their shares of Class B common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Our board of directors has the authority to issue Preferred Stock in one or more classes or series and to fix the rights, preferences, privileges and related restrictions, including dividend rights, dividend rates, conversion rights, voting rights, the right to elect directors, terms of redemption, any sinking fund for the redemption, redemption prices, liquidation preferences and the number of shares constituting any class or series, or the designation of the class or series, without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the TPG Operating Group Limited Partnership Agreement, the general partner has the right, in its sole discretion, to determine when distributions will be made to the partners of TPG Operating Group, and the amount of any such distributions.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Holders of Common Units are entitled to receive distributions of any cash or other property available for distribution by the partnership other than cash or other property attributable to carried interest, promote or incentive allocations that is designated by the general partner as “Promote Unit Cash or Other Property” in accordance with the TPG Operating Group Limited Partnership Agreement. If a distribution to the holders of Common Units is authorized, such distribution will be made to the partners of TPG Operating Group holding Common Units pro rata in accordance with their respective Common Unit percentage interest. In addition, the TPG Operating Group Limited Partnership Agreement provides for cash distributions, which we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Class A Common Stock</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Common Units</w:t>
            </w:r>
          </w:p>
        </w:tc>
      </w:tr>
      <w:tr>
        <w:trPr/>
        <w:tc>
          <w:tcPr>
            <w:tcW w:w="5204" w:type="dxa"/>
            <w:tcBorders/>
          </w:tcPr>
          <w:p>
            <w:pPr>
              <w:pStyle w:val="TableContents"/>
              <w:bidi w:val="0"/>
              <w:spacing w:before="0" w:after="283"/>
              <w:jc w:val="left"/>
              <w:rPr/>
            </w:pPr>
            <w:r>
              <w:rPr/>
              <w:t>the approval of our stockholders, subject to the consent of our Founders.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refer to as “tax distributions”, to the partners holding Common Units in an amount that the general partner determines in its discretion will allow each partner to satisfy its estimated liability with respect to its Common Units and the period covered by such estimated tax payment (taking into account any prior distributions made by TPG Operating Group for the relevant period).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general partner may also, in its sole discretion, make non-pro rata distributions to the partner that is a subsidiary of TPG (without distributions to the other partners) for the purpose of either (i) redeeming, repurchasing or acquiring Common Units, to the extent such distributions are used by TPG to redeem, repurchase or otherwise acquire an equal number of shares of its Class A common stock, or (ii) paying certain costs, fees and expenses of TPG.</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rPr>
            </w:pPr>
            <w:r>
              <w:rPr>
                <w:b/>
              </w:rPr>
              <w:t>Liquidity</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Our Class A common stock is listed on the NASDAQ under the symbol “TPG.”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Shares of our Class A common stock are securities and are transferable subject to the laws governing transfers of securities.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With limited exceptions (which may include exchanges if and when permitted by the Investor Rights Agreement and the Exchange Agreement), no limited partner of TPG Operating Group may transfer all or any part of its units or any right or economic interest pertaining thereto, without the prior written approval of the general partner. Any such transfers are subject to satisfying certain conditions (including prior written notice of the proposed transfer, providing the general partner with information relating to the proposed transfer and such transfer complying with all applicable laws).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Pursuant to the Exchange Agreement and subject to the Investor Rights Agreement, holders of Common Units may become eligible to effect an exchange of their Common Units for cash or, at the sole election of TPG, shares of Class A common stock of TPG on a one-for-one basis, in each case, during designated exchange windows from time-to-time.</w:t>
            </w:r>
          </w:p>
          <w:p>
            <w:pPr>
              <w:pStyle w:val="TableContents"/>
              <w:bidi w:val="0"/>
              <w:spacing w:before="0" w:after="20"/>
              <w:jc w:val="left"/>
              <w:rPr>
                <w:rFonts w:ascii="Times New Roman" w:hAnsi="Times New Roman"/>
                <w:sz w:val="20"/>
              </w:rPr>
            </w:pPr>
            <w:r>
              <w:rPr>
                <w:rFonts w:ascii="Times New Roman" w:hAnsi="Times New Roman"/>
                <w:sz w:val="20"/>
              </w:rPr>
              <w:t>For more information see “Exchange of Common Units.”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rPr>
            </w:pPr>
            <w:r>
              <w:rPr>
                <w:b/>
              </w:rPr>
              <w:t>Fiduciary Duties of Directors/Officers/Manager/General Partner/Members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Under Delaware law, the directors and officers of TPG owe TPG and its stockholders fiduciary duties, including the duties of care and loyalty, and are required to act in good faith in discharging their duties.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Pursuant to the TPG Operating Group Limited Partnership Agreement, the general partner of TPG Operating Group does not have any obligations, fiduciary or otherwise, with respect to TPG Operating Group or any or all of its partners, other than those required under the Delaware Revised Uniform Limited Partnership Act, set forth as Chapter 17 of Title 6 of the Delaware Code.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Class A Common Stock</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Common Units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rPr>
            </w:pPr>
            <w:r>
              <w:rPr>
                <w:b/>
              </w:rPr>
              <w:t>Director Elections; Board Vacancies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Prior to the Sunset, the Control Group has the sole ability to elect the members of our board of directors. Each director shall be elected for a term of one year and shall serve until a successor is duly elected and qualified or until his or her earlier death, resignation or removal, subject to the terms of the GP LLC LLCA, which provides that (i) each of our Founders and Mr. Winkelried will be re-elected by the Control Group at each annual meeting of stockholders until the Sunset, (ii) each of our management directors will be elected by the Control Group for at least two consecutive terms and (iii) each of our independent directors will be re-elected by the Control Group at each annual meeting of stockholders (unless removed by a majority of the Control Group for cause) until the expansion of the Control Group to five members, at which point the independent directors will be eligible for re-election by a majority of the members of the Control Group until the Sunset.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Prior to the Sunset, vacancies occurring on the board of directors, whether due to death, resignation, removal, retirement, disqualification or for any other reason, and newly created directorships resulting from an increase in the authorized number of directors, if any, shall be filled by the Control Group.</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For more information see “Description of Capital Stock—Anti-Takeover Effects of Provisions of Delaware Law and our Certificate of Incorporation and Bylaws.”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general partner cannot be removed as the general partner by the limited partners, and cannot withdraw as the general partner without the consent of a majority in interest of the limited partners (except in connection with a transfer to an affiliate of TPG). No limited partners of TPG Operating Group, in their capacity as such, have any authority or right to participate in or control the management of TPG Operating Group’s business or to bind TPG Operating Group in connection with any matter.</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rPr>
            </w:pPr>
            <w:r>
              <w:rPr>
                <w:b/>
              </w:rPr>
              <w:t>Indemnification</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Our bylaws provide indemnification for our directors and officers to the fullest extent permitted by Delaware law, subject to certain exceptions contained in our bylaws. We have entered into indemnification agreements with each of our directors and officers (as defined under Rule 16a-1(f) under the Exchange Act) that may, in some cases, be broader than the specific indemnification provisions contained under Delaware law. In addition, as permitted by Delaware law, our certificate of incorporation and bylaws include provisions that eliminate the personal liability of our directors or officers for monetary damages resulting from breaches of certain fiduciary duties as a director or officer, respectively.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For more information see “Description of Capital Stock—Limitations on Liability and Indemnification of Officers and Directors.”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TPG Operating Group Limited Partnership Agreement provides, in most circumstances, for the indemnification of the following persons, to the fullest extent permitted by law, from and against any losses, claims, damages or liabilities incurred by reason of any act or omission performed or omitted by such person in good faith on behalf of TPG Operating Group: (i) each current or former partner or an affiliate thereof, (ii) each officer, director, shareholder, member, partner, employee, representative, agent or trustee of a partner or an affiliate thereof, (iii) each officer, director, shareholder (other than public shareholders of TPG that are not partners of TPG Operating Group), member, partner, employee, representative, agent or trustee of the general partner, TPG, TPG Operating Group or an affiliate controlled thereby, and (iv) the tax matters representative of TPG Operating Group.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05"/>
        <w:gridCol w:w="204"/>
        <w:gridCol w:w="4796"/>
      </w:tblGrid>
      <w:tr>
        <w:trPr/>
        <w:tc>
          <w:tcPr>
            <w:tcW w:w="52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Class A Common Stock</w:t>
            </w:r>
          </w:p>
        </w:tc>
        <w:tc>
          <w:tcPr>
            <w:tcW w:w="204" w:type="dxa"/>
            <w:tcBorders/>
            <w:vAlign w:val="bottom"/>
          </w:tcPr>
          <w:p>
            <w:pPr>
              <w:pStyle w:val="TableContents"/>
              <w:bidi w:val="0"/>
              <w:spacing w:before="0" w:after="283"/>
              <w:jc w:val="left"/>
              <w:rPr/>
            </w:pPr>
            <w:r>
              <w:rPr/>
              <w:t>  </w:t>
            </w:r>
          </w:p>
        </w:tc>
        <w:tc>
          <w:tcPr>
            <w:tcW w:w="479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Common Units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rPr>
            </w:pPr>
            <w:r>
              <w:rPr>
                <w:b/>
              </w:rPr>
              <w:t>Voting Rights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Our Class A common stock and Class B common stock vote together as one class on all matters (including the election of directors) submitted to a vote of stockholders, except as set forth in our certificate of incorporation or required by applicable law. However, prior to the Sunset, shares of Class B common stock generally entitle their holder to ten votes per share, subject to adjustment in the event that the voting power of the Class A Free Float (as defined above) does not equal at least 5.1% of the aggregate voting power of all outstanding Class A common stock and Class B common stock voting together as of any record date for a vote of stockholders, and shares of Class A common stock generally entitle their holder to one vote per share. Consequently, the holders of our Class B common stock will generally control matters brought to stockholders for a vote, including the election of directors, prior to the Sunset. After the Sunset, shares of Class B common stock will generally entitle their holders to one vote per share.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Holders of shares of nonvoting Class A common stock have no voting rights in respect of such shares other than those voting rights required by law.</w:t>
            </w:r>
          </w:p>
          <w:p>
            <w:pPr>
              <w:pStyle w:val="TableContents"/>
              <w:bidi w:val="0"/>
              <w:spacing w:before="0" w:after="20"/>
              <w:jc w:val="left"/>
              <w:rPr>
                <w:rFonts w:ascii="Times New Roman" w:hAnsi="Times New Roman"/>
                <w:sz w:val="20"/>
              </w:rPr>
            </w:pPr>
            <w:r>
              <w:rPr>
                <w:rFonts w:ascii="Times New Roman" w:hAnsi="Times New Roman"/>
                <w:sz w:val="20"/>
              </w:rPr>
              <w:t>For more information see “Description of Capital Stock—Common Stock.”</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Except as expressly provided in the TPG Operating Group Limited Partnership Agreement, the limited partners of TPG Operating Group have no right to vote, approve or consent to any matter or action taken by TPG Operating Group.</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rPr>
            </w:pPr>
            <w:r>
              <w:rPr>
                <w:b/>
              </w:rPr>
              <w:t>Special Meetings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Our certificate of incorporation and bylaws provide that special meetings of stockholders may be called at any time, but only by the board of directors or any of the non-executive chairman, executive chairman or CEO.</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Limited partners of TPG Operating Group have no right under the TPG Operating Group Limited Partnership Agreement to call meetings of the partners.</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rPr>
            </w:pPr>
            <w:r>
              <w:rPr>
                <w:b/>
              </w:rPr>
              <w:t>Action By Written Consent</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Our certificate of incorporation provides that prior to the Sunset, stockholders may act by written consent instead of a meeting for any action required or permitted to be taken by the stockholders at a duly called annual or special meeting of stockholders, subject to the rights of any holders of Preferred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From and after the Sunset, any action required or permitted to be taken by stockholders must be effected at a duly called annual or special meeting of stockholders and may not be effected by written consent.</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Any action required or permitted to be taken by the partners pursuant to the TPG Operating Group Limited Partnership Agreement will be taken if all partners whose consent is required consent thereto or provide ratification in writing.</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rPr>
            </w:pPr>
            <w:r>
              <w:rPr>
                <w:b/>
              </w:rPr>
              <w:t>Amendment to Governance Documents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Our certificate of incorporation can only be amended if such amendment is approved by our board of directors and, except as described below, by the holders of a majority of the voting power of the outstanding shares of common stock of TPG.</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The TPG Operating Group Limited Partnership Agreement may be amended at any time and from time to time by the general partner; provided that no amendment may adversely modify in any material respect the units (or the rights, preferences 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Class A Common Stock</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Common Units</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Except as described below, our bylaws may be amended by our board of directors or by the affirmative vote of the holders of at least a majority of the voting power of our then outstanding shares of common stock entitled to vote generally in the election of directors, voting together as a single class.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Prior to the Sunset, our certificate of incorporation and bylaws may not be amended without the prior approval of GP LLC.</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privileges of the units) of TPG Operating Group or the rights then held by any partners in any materially disproportionate manner to those then held by any other partners, without the prior written consent of a majority in interest of the similarly disproportionately affected partner or partners; provided, further, that no amendment may adversely affect the rights of an API Entity Representative (as defined in the applicable partnership agreement of Alabama Investments (Parallel), LP, Alabama Investments (Parallel) Founder A, LP, or Alabama Investments (Parallel) Founder G, LP), without the prior written consent of such API Entity Representative (such consent not to be unreasonably withheld, conditioned or delayed).</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rPr>
            </w:pPr>
            <w:r>
              <w:rPr>
                <w:b/>
              </w:rPr>
              <w:t>Asset Sales, Mergers and Consolidations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Subject to certain limitations described in “Description of Capital Stock—Anti-Takeover Effects of Provisions of Delaware Law and our Certificate of Incorporation and Bylaws,” TPG may merge, consolidate, exchange or otherwise dispose of all or substantially all of its assets if such transaction is approved by the board of directors and the holders of a majority of outstanding stock of TPG entitled to vote thereon.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general partner of TPG Operating Group may merge, consolidate or sell, exchange or otherwise dispose of all or substantially all of its assets, in a single transaction or a series of related transactions, without the consent of its limited partners.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tx102469_11"/>
      <w:bookmarkEnd w:id="12"/>
      <w:r>
        <w:rPr>
          <w:rFonts w:ascii="Times New Roman" w:hAnsi="Times New Roman"/>
          <w:b/>
          <w:sz w:val="20"/>
        </w:rPr>
        <w:t xml:space="preserve">MATERIAL U.S. FEDERAL INCOME AND ESTATE TAX CONSIDERATIONS TO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certain material U.S. federal income and estate tax consequences of the ownership and disposition of shares of our Class A common stock as of the date hereof. Except where noted, this summary deals only with Class A common stock that is held as a capital asset by a non-U.S. holder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means a beneficial owner of shares of our Class A common stock (other than an entity treated as a partnership for U.S. federal income tax purposes) that is not, for U.S. federal income tax purposes,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it (i) is subject to the primary supervision of a court within the United States and one or more U.S. persons have the authority to control all substantial decisions of the trust or (ii) has a valid election in effect under applicable U.S. Treasury regulations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summary is based upon provisions of the U.S. Internal Revenue Code of 1986, as amended (the “Code”), and regulations, rulings and judicial decisions as of the date hereof. Those authorities may be changed, perhaps retroactively, so as to result in U.S. federal income and estate tax consequences different from those summarized below. This summary does not address all aspects of U.S. federal income and estate taxes and does not deal with non-U.S., state, local or other tax considerations that may be relevant to non-U.S. holders in light of their particular circumstances. In addition, it does not represent a detailed description of the U.S. federal income and estate tax consequences applicable to you if you are subject to special treatment under the U.S. federal income tax laws (including if you are a U.S. expatriate, foreign pension fund, “controlled foreign corporation,” “passive foreign investment company” or a partnership or other pass-through entity for U.S. federal income tax purposes). We cannot assure you that a change in law will not alter significantly the tax considerations that we describe in this summary. </w:t>
      </w:r>
    </w:p>
    <w:p>
      <w:pPr>
        <w:pStyle w:val="TextBody"/>
        <w:bidi w:val="0"/>
        <w:spacing w:before="240" w:after="0"/>
        <w:jc w:val="left"/>
        <w:rPr>
          <w:rFonts w:ascii="Times New Roman" w:hAnsi="Times New Roman"/>
          <w:sz w:val="20"/>
        </w:rPr>
      </w:pPr>
      <w:r>
        <w:rPr>
          <w:rFonts w:ascii="Times New Roman" w:hAnsi="Times New Roman"/>
          <w:sz w:val="20"/>
        </w:rPr>
        <w:t xml:space="preserve">If an entity treated as a partnership for U.S. federal income tax purposes holds shares of our Class A common stock, the tax treatment of a partner will generally depend upon the status of the partner and the activities of the partnership. If you are a partner of a partnership holding our Class A common stock, you should consult your tax advisors.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consult your own tax advisors concerning the particular U.S. federal income and estate tax consequences to you of the ownership and disposition of our Class A common stock, as well as the consequences to you arising under other U.S. federal tax laws and the laws of any other taxing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we make a distribution of cash or other property (other than certain pro rata distributions of our Class A common stock) in respect of shares of our Class A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shares of our Class A common stock, the excess will be treated as gain from the disposition of shares of our Class A common stock (the tax treatment of which is discussed below under “—Gain on Disposition of Class 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Dividends paid to a non-U.S. holder generally will be subject to withholding of U.S. federal income tax at a 30% rate or such lower rate as may be specified by an applicable income tax treaty, subject to the discussion of FATCA (as defined herein) below under “—Additional Withholding Requirements.” However, dividends that are effectively connected with the conduct of a trade or business by the non-U.S. holder within the United States (and, if required by an applicable income tax treaty, are attributable to a U.S. permanent establishment) are not subject to the withholding tax, provided certain certification and disclosure requirements are satisfied. Instead, such dividends are subject to U.S. federal income tax on a net income basis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who wishes to claim the benefit of an applicable treaty rate and avoid backup withholding, as discussed below, for dividends will be required (a) to provide the applicable withholding agent with a properly executed Internal Revenue Service (“IRS”) Form W-8BEN or Form W-8BEN-E (or other applicable form) certifying under penalty of perjury that such holder is not a U.S. person as defined under the Code and is eligible for treaty benefits or (b) if our Class A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eligible for a reduced rate of U.S. federal withholding tax pursuant to an income tax treaty may obtain a refund of any excess amounts withheld by timely filing an appropriate claim for refund with the IRS.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of backup withholding and additional withholding below, any gain realized by a non-U.S. holder on the sale or other disposition of our Class A common stock generally will not be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trade or business of the non-U.S. holder in the United States (and, if required by an applicable income tax treaty, is attributable to a U.S. permanent establishment of the non-U.S.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in the taxable year of that disposition, and certain other conditions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 “U.S. real property holding corporation” for U.S. federal income tax purposes and certain other conditions are met.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 situation in the first bullet point or the third bullet point immediately above, a non-U.S. holder will be subject to tax on the gain derived from the sale or other disposition in the same manner as if the non-U.S. holder were a U.S.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we are not and do not anticipate becoming a “U.S. real property holding corporation”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Federal Estate Tax </w:t>
      </w:r>
    </w:p>
    <w:p>
      <w:pPr>
        <w:pStyle w:val="TextBody"/>
        <w:bidi w:val="0"/>
        <w:spacing w:before="120" w:after="0"/>
        <w:jc w:val="left"/>
        <w:rPr>
          <w:rFonts w:ascii="Times New Roman" w:hAnsi="Times New Roman"/>
          <w:sz w:val="20"/>
        </w:rPr>
      </w:pPr>
      <w:r>
        <w:rPr>
          <w:rFonts w:ascii="Times New Roman" w:hAnsi="Times New Roman"/>
          <w:sz w:val="20"/>
        </w:rPr>
        <w:t xml:space="preserve">Class A common stock held by an individual non-U.S. holder at the time of death will be included in such holder’s gross estate for U.S. federal estate tax purposes, unless an applicable estate tax treaty provides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will not be subject to backup withholding on dividends received if such holder certifies under penalty of perjury that it is a non-U.S. holder (and the payor does not have actual knowledge or reason to know that such holder is a U.S. person as defined under the Code), or such holder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Information reporting and, depending on the circumstances, backup withholding will apply to the proceeds of a sale or other disposition of our Class A common stock made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amounts withheld under the backup withholding rules will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Under Sections 1471 through 1474 of the Code (such Sections commonly referred to as “FATCA”), a 30% U.S. federal withholding tax may apply to any dividends paid on our Class A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U.S. beneficial owners of such entity (if any). Under proposed U.S.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Class A common stock. An intergovernmental agreement between the United States and an applicable foreign country may modify these requirements. If a dividend payment is both subject to withholding under FATCA and subject to the withholding tax discussed above under “—Dividends,” the withholding under FATCA may be credited against, and therefore reduce, such other withholding tax. You should consult your own tax advisors regarding these requirements and whether they may be relevant to your ownership and disposition of our Class A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of Common Units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 Common Units for Class A common stock will be taxable for U.S. federal income tax purposes. The U.S. federal income tax rules applicable to such an exchange are complex, and the tax consequences to holders who exchange their Common Units will depend on their particular situations. Holders who exchange their Common Units should consult their own tax advisors about such tax consequences.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tx102469_12"/>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issuance from time to time of up to 202,179,591 shares of our Class A common stock to holders of up to an equal number of Common Units. The shares of our Class A common stock registered under this prospectus will only be issued to the extent that holders of the Common Units exchange such Common Units for our Class A common stock pursuant to the Exchange Agreement. We will not receive any cash proceeds from the issuance of any of our Class A common stock upon an exchange of Common Units, but we will indirectly acquire the Common Units exchanged for our Class A common stock that we issue to an exchanging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tx102469_13"/>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Weil, Gotshal &amp; Manges LLP, New York, New York, will pass upon the validity of the Class A common stock offered by this prospectus. </w:t>
      </w:r>
    </w:p>
    <w:p>
      <w:pPr>
        <w:pStyle w:val="TextBody"/>
        <w:bidi w:val="0"/>
        <w:spacing w:before="480" w:after="0"/>
        <w:jc w:val="center"/>
        <w:rPr>
          <w:rFonts w:ascii="Times New Roman" w:hAnsi="Times New Roman"/>
          <w:b/>
          <w:sz w:val="20"/>
        </w:rPr>
      </w:pPr>
      <w:bookmarkStart w:id="15" w:name="tx102469_14"/>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TPG Inc. incorporated by reference in this Prospectus and the effectiveness of TPG Inc.’s internal control over financial reporting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an estimate of the various expenses to be incurred in connection with the registration of the securities being registered hereby, all of which will be borne by us.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19"/>
        <w:gridCol w:w="565"/>
        <w:gridCol w:w="141"/>
        <w:gridCol w:w="952"/>
        <w:gridCol w:w="62"/>
      </w:tblGrid>
      <w:tr>
        <w:trPr/>
        <w:tc>
          <w:tcPr>
            <w:tcW w:w="5219" w:type="dxa"/>
            <w:tcBorders/>
            <w:vAlign w:val="center"/>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56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w:t>
            </w:r>
          </w:p>
        </w:tc>
        <w:tc>
          <w:tcPr>
            <w:tcW w:w="62" w:type="dxa"/>
            <w:tcBorders/>
            <w:shd w:fill="CCEEFF" w:val="clear"/>
            <w:vAlign w:val="bottom"/>
          </w:tcPr>
          <w:p>
            <w:pPr>
              <w:pStyle w:val="TableContents"/>
              <w:bidi w:val="0"/>
              <w:spacing w:before="0" w:after="283"/>
              <w:jc w:val="left"/>
              <w:rPr/>
            </w:pPr>
            <w:r>
              <w:rPr/>
              <w:t> </w:t>
            </w:r>
          </w:p>
        </w:tc>
      </w:tr>
      <w:tr>
        <w:trPr/>
        <w:tc>
          <w:tcPr>
            <w:tcW w:w="5219"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56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35,000</w:t>
            </w:r>
          </w:p>
        </w:tc>
        <w:tc>
          <w:tcPr>
            <w:tcW w:w="62" w:type="dxa"/>
            <w:tcBorders/>
            <w:vAlign w:val="bottom"/>
          </w:tcPr>
          <w:p>
            <w:pPr>
              <w:pStyle w:val="TableContents"/>
              <w:bidi w:val="0"/>
              <w:spacing w:before="0" w:after="283"/>
              <w:jc w:val="left"/>
              <w:rPr/>
            </w:pPr>
            <w:r>
              <w:rPr/>
              <w:t> </w:t>
            </w:r>
          </w:p>
        </w:tc>
      </w:tr>
      <w:tr>
        <w:trPr/>
        <w:tc>
          <w:tcPr>
            <w:tcW w:w="5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56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25,000</w:t>
            </w:r>
          </w:p>
        </w:tc>
        <w:tc>
          <w:tcPr>
            <w:tcW w:w="62" w:type="dxa"/>
            <w:tcBorders/>
            <w:shd w:fill="CCEEFF" w:val="clear"/>
            <w:vAlign w:val="bottom"/>
          </w:tcPr>
          <w:p>
            <w:pPr>
              <w:pStyle w:val="TableContents"/>
              <w:bidi w:val="0"/>
              <w:spacing w:before="0" w:after="283"/>
              <w:jc w:val="left"/>
              <w:rPr/>
            </w:pPr>
            <w:r>
              <w:rPr/>
              <w:t> </w:t>
            </w:r>
          </w:p>
        </w:tc>
      </w:tr>
      <w:tr>
        <w:trPr/>
        <w:tc>
          <w:tcPr>
            <w:tcW w:w="5219"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56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 </w:t>
            </w:r>
            <w:r>
              <w:rPr/>
              <w:t>10,000</w:t>
            </w:r>
          </w:p>
        </w:tc>
        <w:tc>
          <w:tcPr>
            <w:tcW w:w="62" w:type="dxa"/>
            <w:tcBorders/>
            <w:vAlign w:val="bottom"/>
          </w:tcPr>
          <w:p>
            <w:pPr>
              <w:pStyle w:val="TableContents"/>
              <w:bidi w:val="0"/>
              <w:spacing w:before="0" w:after="283"/>
              <w:jc w:val="left"/>
              <w:rPr/>
            </w:pPr>
            <w:r>
              <w:rPr/>
              <w:t> </w:t>
            </w:r>
          </w:p>
        </w:tc>
      </w:tr>
      <w:tr>
        <w:trPr/>
        <w:tc>
          <w:tcPr>
            <w:tcW w:w="5219"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6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70,000</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 415(a)(6), the Unissued Shares are being carried forward and registered under this registration statement. In connection with the registration of the offering of the Unissued Shares under the Prior Registration Statements, the registrant previously paid the applicable registration fee which will continue to be applied to the Unissued Shares.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145(a)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It further provides that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Delaware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145(c) of the DGCL provides that to the extent that a present or former director or officer of a corporation has been successful on the merits or otherwise in defense of any action, suit or proceeding referred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subsections (a) and (b) of Section 145 of the DGCL, or in defense of any claim, issue or matter therein, such person shall be indemnified against expenses (including attorneys’ fees) actually and reasonably incurred by such person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145(e) of the DGCL provides that 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Section 145 of the DGCL. Such expenses (including attorneys’ fees) incurred by former directors and officers or other persons serving at the request of the corporation as directors, officers, employees or agents of another corporation, partnership, joint venture, trust or other enterprise may be so paid upon such terms and conditions, if any, as the corporation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Section 145(g) of the DGCL specifically allows a Delaware corporation to purchase liability insurance on behalf of its directors and officers and to insure against potential liability of such directors and officers regardless of whether the corporation would have the power to indemnify such directors and officers under Section 145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provides that a corporation may eliminate or limit the personal liability of a director or officer to the corporation or its stockholders for monetary damages for breach of fiduciary duty as a director or officer, provided that such provisions shall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No such provision shall eliminate or limit the liability of a director or officer for any act or omission occurring before the date when such provision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makes provision for the indemnification of officers and directors in terms sufficiently broad to indemnify the registrant’s officers and directors under certain circumstances from liabilities (including reimbursement for expenses incurred) arising under the Securities Act. The registrant’s bylaws provide that, subject to certain exceptions contained therein, to the fullest extent and under the circumstances permitted by Section 145 of the DGCL, the registrant will indemnify and advance expenses on behalf of any and all of its officers and directors. The registrant’s certificate of incorporation provides that the registrant’s directors and officers shall not be liable for monetary damages to the registrant or its stockholders for breach of such director’s or officer’s fiduciary duty as a director or officer, respectively, except to the extent such exemption from liability or limitation thereof is not permitted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purchased insurance policies which, within the limits and subject to the terms and conditions thereof, cover certain expenses and liabilities that may be incurred by directors and officers in connection with proceedings that may be brought against them as a result of an act or omission committed or suffered while acting as the registrant’s director or officer.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entered into indemnification agreements with each of its officers (as defined under Rule 16a-1(f) under the Exchange Act) and directors. The indemnification agreements provide officers and directors subject to Section 16 of the Exchange Act with contractual rights to indemnification, expense advancement and reimbursement, to the fullest extent permitted under the DGCL, subject to certain exceptions contained in those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filed as part of this registration statement or incorporated by reference 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1"/>
        <w:gridCol w:w="501"/>
        <w:gridCol w:w="8913"/>
      </w:tblGrid>
      <w:tr>
        <w:trPr/>
        <w:tc>
          <w:tcPr>
            <w:tcW w:w="791"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8913" w:type="dxa"/>
            <w:tcBorders/>
            <w:vAlign w:val="center"/>
          </w:tcPr>
          <w:p>
            <w:pPr>
              <w:pStyle w:val="TableContents"/>
              <w:bidi w:val="0"/>
              <w:spacing w:before="0" w:after="283"/>
              <w:jc w:val="left"/>
              <w:rPr>
                <w:sz w:val="4"/>
                <w:szCs w:val="4"/>
              </w:rPr>
            </w:pPr>
            <w:r>
              <w:rPr>
                <w:sz w:val="4"/>
                <w:szCs w:val="4"/>
              </w:rPr>
            </w:r>
          </w:p>
        </w:tc>
      </w:tr>
      <w:tr>
        <w:trPr/>
        <w:tc>
          <w:tcPr>
            <w:tcW w:w="791"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501" w:type="dxa"/>
            <w:tcBorders/>
            <w:vAlign w:val="bottom"/>
          </w:tcPr>
          <w:p>
            <w:pPr>
              <w:pStyle w:val="TableContents"/>
              <w:bidi w:val="0"/>
              <w:spacing w:before="0" w:after="283"/>
              <w:jc w:val="left"/>
              <w:rPr/>
            </w:pPr>
            <w:r>
              <w:rPr/>
              <w:t>  </w:t>
            </w:r>
          </w:p>
        </w:tc>
        <w:tc>
          <w:tcPr>
            <w:tcW w:w="891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9414" w:type="dxa"/>
            <w:gridSpan w:val="2"/>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left"/>
              <w:rPr/>
            </w:pPr>
            <w:r>
              <w:rPr/>
              <w:t> </w:t>
            </w:r>
            <w:r>
              <w:rPr/>
              <w:t>3.1*</w:t>
            </w:r>
          </w:p>
        </w:tc>
        <w:tc>
          <w:tcPr>
            <w:tcW w:w="501" w:type="dxa"/>
            <w:tcBorders/>
            <w:vAlign w:val="bottom"/>
          </w:tcPr>
          <w:p>
            <w:pPr>
              <w:pStyle w:val="TableContents"/>
              <w:bidi w:val="0"/>
              <w:spacing w:before="0" w:after="283"/>
              <w:jc w:val="left"/>
              <w:rPr/>
            </w:pPr>
            <w:r>
              <w:rPr/>
              <w:t>  </w:t>
            </w:r>
          </w:p>
        </w:tc>
        <w:tc>
          <w:tcPr>
            <w:tcW w:w="8913" w:type="dxa"/>
            <w:tcBorders/>
          </w:tcPr>
          <w:p>
            <w:pPr>
              <w:pStyle w:val="TableContents"/>
              <w:bidi w:val="0"/>
              <w:spacing w:before="0" w:after="283"/>
              <w:jc w:val="left"/>
              <w:rPr/>
            </w:pPr>
            <w:hyperlink r:id="rId14">
              <w:r>
                <w:rPr>
                  <w:rStyle w:val="InternetLink"/>
                </w:rPr>
                <w:t xml:space="preserve">Restated Certificate of Incorporation of TPG Inc. (incorporated by reference to Exhibit 3.1 to the Company’s Current Report on Form 8-K, filed on November 13, 2023). </w:t>
              </w:r>
            </w:hyperlink>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9414" w:type="dxa"/>
            <w:gridSpan w:val="2"/>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left"/>
              <w:rPr/>
            </w:pPr>
            <w:r>
              <w:rPr/>
              <w:t> </w:t>
            </w:r>
            <w:r>
              <w:rPr/>
              <w:t>3.2*</w:t>
            </w:r>
          </w:p>
        </w:tc>
        <w:tc>
          <w:tcPr>
            <w:tcW w:w="501" w:type="dxa"/>
            <w:tcBorders/>
            <w:vAlign w:val="bottom"/>
          </w:tcPr>
          <w:p>
            <w:pPr>
              <w:pStyle w:val="TableContents"/>
              <w:bidi w:val="0"/>
              <w:spacing w:before="0" w:after="283"/>
              <w:jc w:val="left"/>
              <w:rPr/>
            </w:pPr>
            <w:r>
              <w:rPr/>
              <w:t>  </w:t>
            </w:r>
          </w:p>
        </w:tc>
        <w:tc>
          <w:tcPr>
            <w:tcW w:w="8913" w:type="dxa"/>
            <w:tcBorders/>
          </w:tcPr>
          <w:p>
            <w:pPr>
              <w:pStyle w:val="TableContents"/>
              <w:bidi w:val="0"/>
              <w:spacing w:before="0" w:after="283"/>
              <w:jc w:val="left"/>
              <w:rPr/>
            </w:pPr>
            <w:hyperlink r:id="rId15">
              <w:r>
                <w:rPr>
                  <w:rStyle w:val="InternetLink"/>
                </w:rPr>
                <w:t xml:space="preserve">Certificate of Amendment of Restated Certificate of Incorporation of TPG Inc. (incorporated by reference to Exhibit  3.1 to the Company’s Current Report on Form 8-K, filed on June 6, 2024). </w:t>
              </w:r>
            </w:hyperlink>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9414" w:type="dxa"/>
            <w:gridSpan w:val="2"/>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left"/>
              <w:rPr/>
            </w:pPr>
            <w:r>
              <w:rPr/>
              <w:t> </w:t>
            </w:r>
            <w:r>
              <w:rPr/>
              <w:t>3.3*</w:t>
            </w:r>
          </w:p>
        </w:tc>
        <w:tc>
          <w:tcPr>
            <w:tcW w:w="501" w:type="dxa"/>
            <w:tcBorders/>
            <w:vAlign w:val="bottom"/>
          </w:tcPr>
          <w:p>
            <w:pPr>
              <w:pStyle w:val="TableContents"/>
              <w:bidi w:val="0"/>
              <w:spacing w:before="0" w:after="283"/>
              <w:jc w:val="left"/>
              <w:rPr/>
            </w:pPr>
            <w:r>
              <w:rPr/>
              <w:t>  </w:t>
            </w:r>
          </w:p>
        </w:tc>
        <w:tc>
          <w:tcPr>
            <w:tcW w:w="8913" w:type="dxa"/>
            <w:tcBorders/>
          </w:tcPr>
          <w:p>
            <w:pPr>
              <w:pStyle w:val="TableContents"/>
              <w:bidi w:val="0"/>
              <w:spacing w:before="0" w:after="283"/>
              <w:jc w:val="left"/>
              <w:rPr/>
            </w:pPr>
            <w:hyperlink r:id="rId16">
              <w:r>
                <w:rPr>
                  <w:rStyle w:val="InternetLink"/>
                </w:rPr>
                <w:t xml:space="preserve">Amended and Restated Bylaws of TPG Inc. (incorporated by reference to Exhibit 3.2 to the Current Report on Form 8-K, filed on June 12, 2023). </w:t>
              </w:r>
            </w:hyperlink>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9414" w:type="dxa"/>
            <w:gridSpan w:val="2"/>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left"/>
              <w:rPr/>
            </w:pPr>
            <w:r>
              <w:rPr/>
              <w:t> </w:t>
            </w:r>
            <w:r>
              <w:rPr/>
              <w:t>4.1*</w:t>
            </w:r>
          </w:p>
        </w:tc>
        <w:tc>
          <w:tcPr>
            <w:tcW w:w="501" w:type="dxa"/>
            <w:tcBorders/>
            <w:vAlign w:val="bottom"/>
          </w:tcPr>
          <w:p>
            <w:pPr>
              <w:pStyle w:val="TableContents"/>
              <w:bidi w:val="0"/>
              <w:spacing w:before="0" w:after="283"/>
              <w:jc w:val="left"/>
              <w:rPr/>
            </w:pPr>
            <w:r>
              <w:rPr/>
              <w:t>  </w:t>
            </w:r>
          </w:p>
        </w:tc>
        <w:tc>
          <w:tcPr>
            <w:tcW w:w="8913" w:type="dxa"/>
            <w:tcBorders/>
          </w:tcPr>
          <w:p>
            <w:pPr>
              <w:pStyle w:val="TableContents"/>
              <w:bidi w:val="0"/>
              <w:spacing w:before="0" w:after="283"/>
              <w:jc w:val="left"/>
              <w:rPr/>
            </w:pPr>
            <w:hyperlink r:id="rId17">
              <w:r>
                <w:rPr>
                  <w:rStyle w:val="InternetLink"/>
                </w:rPr>
                <w:t xml:space="preserve">Description of Securities Registered Pursuant to Section  12 of the Securities Exchange Act of 1934 (incorporated by reference to Exhibit 4.1 to the Company’s Annual Report on Form 10-K, filed on February 18, 2025). </w:t>
              </w:r>
            </w:hyperlink>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9414" w:type="dxa"/>
            <w:gridSpan w:val="2"/>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left"/>
              <w:rPr/>
            </w:pPr>
            <w:r>
              <w:rPr/>
              <w:t> </w:t>
            </w:r>
            <w:r>
              <w:rPr/>
              <w:t>5.1</w:t>
            </w:r>
          </w:p>
        </w:tc>
        <w:tc>
          <w:tcPr>
            <w:tcW w:w="501" w:type="dxa"/>
            <w:tcBorders/>
            <w:vAlign w:val="bottom"/>
          </w:tcPr>
          <w:p>
            <w:pPr>
              <w:pStyle w:val="TableContents"/>
              <w:bidi w:val="0"/>
              <w:spacing w:before="0" w:after="283"/>
              <w:jc w:val="left"/>
              <w:rPr/>
            </w:pPr>
            <w:r>
              <w:rPr/>
              <w:t>  </w:t>
            </w:r>
          </w:p>
        </w:tc>
        <w:tc>
          <w:tcPr>
            <w:tcW w:w="8913" w:type="dxa"/>
            <w:tcBorders/>
          </w:tcPr>
          <w:p>
            <w:pPr>
              <w:pStyle w:val="TableContents"/>
              <w:bidi w:val="0"/>
              <w:spacing w:before="0" w:after="283"/>
              <w:jc w:val="left"/>
              <w:rPr/>
            </w:pPr>
            <w:hyperlink w:anchor="d102469dex51.htm">
              <w:r>
                <w:rPr>
                  <w:rStyle w:val="InternetLink"/>
                </w:rPr>
                <w:t xml:space="preserve">Opinion of Weil, Gotshal &amp; Manges LLP. </w:t>
              </w:r>
            </w:hyperlink>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9414" w:type="dxa"/>
            <w:gridSpan w:val="2"/>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left"/>
              <w:rPr/>
            </w:pPr>
            <w:r>
              <w:rPr/>
              <w:t>23.1</w:t>
            </w:r>
          </w:p>
        </w:tc>
        <w:tc>
          <w:tcPr>
            <w:tcW w:w="501" w:type="dxa"/>
            <w:tcBorders/>
            <w:vAlign w:val="bottom"/>
          </w:tcPr>
          <w:p>
            <w:pPr>
              <w:pStyle w:val="TableContents"/>
              <w:bidi w:val="0"/>
              <w:spacing w:before="0" w:after="283"/>
              <w:jc w:val="left"/>
              <w:rPr/>
            </w:pPr>
            <w:r>
              <w:rPr/>
              <w:t>  </w:t>
            </w:r>
          </w:p>
        </w:tc>
        <w:tc>
          <w:tcPr>
            <w:tcW w:w="8913" w:type="dxa"/>
            <w:tcBorders/>
          </w:tcPr>
          <w:p>
            <w:pPr>
              <w:pStyle w:val="TableContents"/>
              <w:bidi w:val="0"/>
              <w:spacing w:before="0" w:after="283"/>
              <w:jc w:val="left"/>
              <w:rPr/>
            </w:pPr>
            <w:hyperlink w:anchor="d102469dex231.htm">
              <w:r>
                <w:rPr>
                  <w:rStyle w:val="InternetLink"/>
                </w:rPr>
                <w:t xml:space="preserve">Consent of Deloitte &amp; Touche LLP. </w:t>
              </w:r>
            </w:hyperlink>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9414" w:type="dxa"/>
            <w:gridSpan w:val="2"/>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left"/>
              <w:rPr/>
            </w:pPr>
            <w:r>
              <w:rPr/>
              <w:t>23.2</w:t>
            </w:r>
          </w:p>
        </w:tc>
        <w:tc>
          <w:tcPr>
            <w:tcW w:w="501" w:type="dxa"/>
            <w:tcBorders/>
            <w:vAlign w:val="bottom"/>
          </w:tcPr>
          <w:p>
            <w:pPr>
              <w:pStyle w:val="TableContents"/>
              <w:bidi w:val="0"/>
              <w:spacing w:before="0" w:after="283"/>
              <w:jc w:val="left"/>
              <w:rPr/>
            </w:pPr>
            <w:r>
              <w:rPr/>
              <w:t>  </w:t>
            </w:r>
          </w:p>
        </w:tc>
        <w:tc>
          <w:tcPr>
            <w:tcW w:w="8913" w:type="dxa"/>
            <w:tcBorders/>
          </w:tcPr>
          <w:p>
            <w:pPr>
              <w:pStyle w:val="TableContents"/>
              <w:bidi w:val="0"/>
              <w:spacing w:before="0" w:after="283"/>
              <w:jc w:val="left"/>
              <w:rPr/>
            </w:pPr>
            <w:hyperlink w:anchor="d102469dex51.htm">
              <w:r>
                <w:rPr>
                  <w:rStyle w:val="InternetLink"/>
                </w:rPr>
                <w:t xml:space="preserve">Consent of Weil, Gotshal &amp; Manges LLP (included in Exhibit 5.1). </w:t>
              </w:r>
            </w:hyperlink>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9414" w:type="dxa"/>
            <w:gridSpan w:val="2"/>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left"/>
              <w:rPr/>
            </w:pPr>
            <w:r>
              <w:rPr/>
              <w:t>24.1</w:t>
            </w:r>
          </w:p>
        </w:tc>
        <w:tc>
          <w:tcPr>
            <w:tcW w:w="501" w:type="dxa"/>
            <w:tcBorders/>
            <w:vAlign w:val="bottom"/>
          </w:tcPr>
          <w:p>
            <w:pPr>
              <w:pStyle w:val="TableContents"/>
              <w:bidi w:val="0"/>
              <w:spacing w:before="0" w:after="283"/>
              <w:jc w:val="left"/>
              <w:rPr/>
            </w:pPr>
            <w:r>
              <w:rPr/>
              <w:t>  </w:t>
            </w:r>
          </w:p>
        </w:tc>
        <w:tc>
          <w:tcPr>
            <w:tcW w:w="8913" w:type="dxa"/>
            <w:tcBorders/>
          </w:tcPr>
          <w:p>
            <w:pPr>
              <w:pStyle w:val="TableContents"/>
              <w:bidi w:val="0"/>
              <w:spacing w:before="0" w:after="283"/>
              <w:jc w:val="left"/>
              <w:rPr/>
            </w:pPr>
            <w:hyperlink w:anchor="sig">
              <w:r>
                <w:rPr>
                  <w:rStyle w:val="InternetLink"/>
                </w:rPr>
                <w:t xml:space="preserve">Power of Attorney (included on signature page). </w:t>
              </w:r>
            </w:hyperlink>
          </w:p>
        </w:tc>
      </w:tr>
      <w:tr>
        <w:trPr>
          <w:trHeight w:val="120" w:hRule="atLeast"/>
        </w:trPr>
        <w:tc>
          <w:tcPr>
            <w:tcW w:w="791" w:type="dxa"/>
            <w:tcBorders/>
            <w:vAlign w:val="center"/>
          </w:tcPr>
          <w:p>
            <w:pPr>
              <w:pStyle w:val="TableContents"/>
              <w:bidi w:val="0"/>
              <w:spacing w:before="0" w:after="283"/>
              <w:jc w:val="left"/>
              <w:rPr>
                <w:sz w:val="4"/>
                <w:szCs w:val="4"/>
              </w:rPr>
            </w:pPr>
            <w:r>
              <w:rPr>
                <w:sz w:val="4"/>
                <w:szCs w:val="4"/>
              </w:rPr>
            </w:r>
          </w:p>
        </w:tc>
        <w:tc>
          <w:tcPr>
            <w:tcW w:w="9414" w:type="dxa"/>
            <w:gridSpan w:val="2"/>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left"/>
              <w:rPr/>
            </w:pPr>
            <w:r>
              <w:rPr/>
              <w:t>107</w:t>
            </w:r>
          </w:p>
        </w:tc>
        <w:tc>
          <w:tcPr>
            <w:tcW w:w="501" w:type="dxa"/>
            <w:tcBorders/>
            <w:vAlign w:val="bottom"/>
          </w:tcPr>
          <w:p>
            <w:pPr>
              <w:pStyle w:val="TableContents"/>
              <w:bidi w:val="0"/>
              <w:spacing w:before="0" w:after="283"/>
              <w:jc w:val="left"/>
              <w:rPr/>
            </w:pPr>
            <w:r>
              <w:rPr/>
              <w:t>  </w:t>
            </w:r>
          </w:p>
        </w:tc>
        <w:tc>
          <w:tcPr>
            <w:tcW w:w="8913" w:type="dxa"/>
            <w:tcBorders/>
          </w:tcPr>
          <w:p>
            <w:pPr>
              <w:pStyle w:val="TableContents"/>
              <w:bidi w:val="0"/>
              <w:spacing w:before="0" w:after="283"/>
              <w:jc w:val="left"/>
              <w:rPr/>
            </w:pPr>
            <w:hyperlink w:anchor="d102469dexfilingfees.htm">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p>
      <w:pPr>
        <w:pStyle w:val="TextBody"/>
        <w:bidi w:val="0"/>
        <w:spacing w:before="360" w:after="0"/>
        <w:jc w:val="left"/>
        <w:rPr>
          <w:rFonts w:ascii="Times New Roman" w:hAnsi="Times New Roman"/>
          <w:b/>
          <w:sz w:val="20"/>
        </w:rPr>
      </w:pPr>
      <w:r>
        <w:rPr>
          <w:rFonts w:ascii="Times New Roman" w:hAnsi="Times New Roman"/>
          <w:b/>
          <w:sz w:val="20"/>
        </w:rPr>
        <w:t>Item</w:t>
      </w:r>
      <w:r>
        <w:rPr>
          <w:rFonts w:ascii="Times New Roman" w:hAnsi="Times New Roman"/>
          <w:b/>
          <w:sz w:val="20"/>
          <w:u w:val="single"/>
        </w:rPr>
        <w:t> </w:t>
      </w:r>
      <w:r>
        <w:rPr>
          <w:rFonts w:ascii="Times New Roman" w:hAnsi="Times New Roman"/>
          <w:b/>
          <w:sz w:val="20"/>
        </w:rPr>
        <w:t xml:space="preserve">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12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(i), (ii) and (iii) above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 </w:t>
      </w:r>
    </w:p>
    <w:p>
      <w:pPr>
        <w:pStyle w:val="TextBody"/>
        <w:bidi w:val="0"/>
        <w:spacing w:before="12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12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sig"/>
      <w:bookmarkEnd w:id="16"/>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the requirements for filing on Form S-3 and has duly caused this registration statement to be signed on its behalf by the undersigned, thereunto duly authorized, in the City of Fort Worth, State of Texas, on October 16,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1"/>
        <w:gridCol w:w="3645"/>
      </w:tblGrid>
      <w:tr>
        <w:trPr/>
        <w:tc>
          <w:tcPr>
            <w:tcW w:w="37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TPG INC.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5" w:type="dxa"/>
            <w:tcBorders>
              <w:bottom w:val="single" w:sz="2" w:space="0" w:color="000000"/>
            </w:tcBorders>
            <w:tcMar>
              <w:bottom w:w="28" w:type="dxa"/>
            </w:tcMar>
          </w:tcPr>
          <w:p>
            <w:pPr>
              <w:pStyle w:val="TableContents"/>
              <w:bidi w:val="0"/>
              <w:spacing w:before="0" w:after="283"/>
              <w:jc w:val="left"/>
              <w:rPr/>
            </w:pPr>
            <w:r>
              <w:rPr/>
              <w:t>/s/ Jon Winkelried</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5" w:type="dxa"/>
            <w:tcBorders/>
            <w:vAlign w:val="bottom"/>
          </w:tcPr>
          <w:p>
            <w:pPr>
              <w:pStyle w:val="TableContents"/>
              <w:bidi w:val="0"/>
              <w:spacing w:before="0" w:after="283"/>
              <w:jc w:val="left"/>
              <w:rPr/>
            </w:pPr>
            <w:r>
              <w:rPr/>
              <w:t>Name: Jon Winkelried</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5" w:type="dxa"/>
            <w:tcBorders/>
            <w:vAlign w:val="bottom"/>
          </w:tcPr>
          <w:p>
            <w:pPr>
              <w:pStyle w:val="TableContents"/>
              <w:bidi w:val="0"/>
              <w:spacing w:before="0" w:after="283"/>
              <w:jc w:val="left"/>
              <w:rPr/>
            </w:pPr>
            <w:r>
              <w:rPr/>
              <w:t>Title:  Chief Executive Officer and Director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constitutes and appoints each of Jon Winkelried, Axel André and Jennifer Chu, each of them severally, his or her true and lawful attorneys-in-fact and agents, each of whom may act alone, with full power of substitution and resubstitution, for such person and in his or her name, place and stead, in any and all capacities, to sign any and all amendments (including all post-effective amendments) to this Registration Statement on Form S-3, and to sign any related registration statement that is to be effective upon filing pursuant to Rule 462 promulgated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indicated on October 16,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6"/>
        <w:gridCol w:w="207"/>
        <w:gridCol w:w="5312"/>
      </w:tblGrid>
      <w:tr>
        <w:trPr/>
        <w:tc>
          <w:tcPr>
            <w:tcW w:w="4686"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5312" w:type="dxa"/>
            <w:tcBorders/>
            <w:vAlign w:val="center"/>
          </w:tcPr>
          <w:p>
            <w:pPr>
              <w:pStyle w:val="TableContents"/>
              <w:bidi w:val="0"/>
              <w:spacing w:before="0" w:after="283"/>
              <w:jc w:val="left"/>
              <w:rPr>
                <w:sz w:val="4"/>
                <w:szCs w:val="4"/>
              </w:rPr>
            </w:pPr>
            <w:r>
              <w:rPr>
                <w:sz w:val="4"/>
                <w:szCs w:val="4"/>
              </w:rPr>
            </w:r>
          </w:p>
        </w:tc>
      </w:tr>
      <w:tr>
        <w:trPr/>
        <w:tc>
          <w:tcPr>
            <w:tcW w:w="46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207" w:type="dxa"/>
            <w:tcBorders/>
            <w:vAlign w:val="bottom"/>
          </w:tcPr>
          <w:p>
            <w:pPr>
              <w:pStyle w:val="TableContents"/>
              <w:bidi w:val="0"/>
              <w:spacing w:before="0" w:after="283"/>
              <w:jc w:val="left"/>
              <w:rPr/>
            </w:pPr>
            <w:r>
              <w:rPr/>
              <w:t>  </w:t>
            </w:r>
          </w:p>
        </w:tc>
        <w:tc>
          <w:tcPr>
            <w:tcW w:w="53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pPr>
            <w:r>
              <w:rPr/>
              <w:t> </w:t>
            </w:r>
            <w:r>
              <w:rPr>
                <w:rFonts w:ascii="Times New Roman" w:hAnsi="Times New Roman"/>
                <w:sz w:val="20"/>
              </w:rPr>
              <w:t>/s/ James G. Coulter   </w:t>
            </w:r>
          </w:p>
          <w:p>
            <w:pPr>
              <w:pStyle w:val="TableContents"/>
              <w:bidi w:val="0"/>
              <w:spacing w:before="0" w:after="20"/>
              <w:jc w:val="center"/>
              <w:rPr>
                <w:rFonts w:ascii="Times New Roman" w:hAnsi="Times New Roman"/>
                <w:sz w:val="20"/>
              </w:rPr>
            </w:pPr>
            <w:r>
              <w:rPr>
                <w:rFonts w:ascii="Times New Roman" w:hAnsi="Times New Roman"/>
                <w:sz w:val="20"/>
              </w:rPr>
              <w:t>James G. Coulter</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Founding Partner, Executive</w:t>
            </w:r>
          </w:p>
          <w:p>
            <w:pPr>
              <w:pStyle w:val="TableContents"/>
              <w:bidi w:val="0"/>
              <w:spacing w:before="0" w:after="20"/>
              <w:jc w:val="center"/>
              <w:rPr>
                <w:rFonts w:ascii="Times New Roman" w:hAnsi="Times New Roman"/>
                <w:sz w:val="20"/>
              </w:rPr>
            </w:pPr>
            <w:r>
              <w:rPr>
                <w:rFonts w:ascii="Times New Roman" w:hAnsi="Times New Roman"/>
                <w:sz w:val="20"/>
              </w:rPr>
              <w:t>Chairman and 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pPr>
            <w:r>
              <w:rPr/>
              <w:t> </w:t>
            </w:r>
            <w:r>
              <w:rPr>
                <w:rFonts w:ascii="Times New Roman" w:hAnsi="Times New Roman"/>
                <w:sz w:val="20"/>
              </w:rPr>
              <w:t>/s/ Jon Winkelried   </w:t>
            </w:r>
          </w:p>
          <w:p>
            <w:pPr>
              <w:pStyle w:val="TableContents"/>
              <w:bidi w:val="0"/>
              <w:spacing w:before="0" w:after="20"/>
              <w:jc w:val="center"/>
              <w:rPr>
                <w:rFonts w:ascii="Times New Roman" w:hAnsi="Times New Roman"/>
                <w:sz w:val="20"/>
              </w:rPr>
            </w:pPr>
            <w:r>
              <w:rPr>
                <w:rFonts w:ascii="Times New Roman" w:hAnsi="Times New Roman"/>
                <w:sz w:val="20"/>
              </w:rPr>
              <w:t>Jon Winkelried</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pPr>
            <w:r>
              <w:rPr/>
              <w:t> </w:t>
            </w:r>
            <w:r>
              <w:rPr>
                <w:rFonts w:ascii="Times New Roman" w:hAnsi="Times New Roman"/>
                <w:sz w:val="20"/>
              </w:rPr>
              <w:t>/s/ Axel André   </w:t>
            </w:r>
          </w:p>
          <w:p>
            <w:pPr>
              <w:pStyle w:val="TableContents"/>
              <w:bidi w:val="0"/>
              <w:spacing w:before="0" w:after="20"/>
              <w:jc w:val="center"/>
              <w:rPr>
                <w:rFonts w:ascii="Times New Roman" w:hAnsi="Times New Roman"/>
                <w:sz w:val="20"/>
              </w:rPr>
            </w:pPr>
            <w:r>
              <w:rPr>
                <w:rFonts w:ascii="Times New Roman" w:hAnsi="Times New Roman"/>
                <w:sz w:val="20"/>
              </w:rPr>
              <w:t>Axel André</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pPr>
            <w:r>
              <w:rPr/>
              <w:t> </w:t>
            </w:r>
            <w:r>
              <w:rPr>
                <w:rFonts w:ascii="Times New Roman" w:hAnsi="Times New Roman"/>
                <w:sz w:val="20"/>
              </w:rPr>
              <w:t>/s/ Martin Davidson   </w:t>
            </w:r>
          </w:p>
          <w:p>
            <w:pPr>
              <w:pStyle w:val="TableContents"/>
              <w:bidi w:val="0"/>
              <w:spacing w:before="0" w:after="20"/>
              <w:jc w:val="center"/>
              <w:rPr>
                <w:rFonts w:ascii="Times New Roman" w:hAnsi="Times New Roman"/>
                <w:sz w:val="20"/>
              </w:rPr>
            </w:pPr>
            <w:r>
              <w:rPr>
                <w:rFonts w:ascii="Times New Roman" w:hAnsi="Times New Roman"/>
                <w:sz w:val="20"/>
              </w:rPr>
              <w:t>Martin Davidson</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Chief Accounting Officer</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pPr>
            <w:r>
              <w:rPr/>
              <w:t> </w:t>
            </w:r>
            <w:r>
              <w:rPr>
                <w:rFonts w:ascii="Times New Roman" w:hAnsi="Times New Roman"/>
                <w:sz w:val="20"/>
              </w:rPr>
              <w:t>/s/ Gunther Bright   </w:t>
            </w:r>
          </w:p>
          <w:p>
            <w:pPr>
              <w:pStyle w:val="TableContents"/>
              <w:bidi w:val="0"/>
              <w:spacing w:before="0" w:after="20"/>
              <w:jc w:val="center"/>
              <w:rPr>
                <w:rFonts w:ascii="Times New Roman" w:hAnsi="Times New Roman"/>
                <w:sz w:val="20"/>
              </w:rPr>
            </w:pPr>
            <w:r>
              <w:rPr>
                <w:rFonts w:ascii="Times New Roman" w:hAnsi="Times New Roman"/>
                <w:sz w:val="20"/>
              </w:rPr>
              <w:t>Gunther Bright</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pPr>
            <w:r>
              <w:rPr/>
              <w:t> </w:t>
            </w:r>
            <w:r>
              <w:rPr>
                <w:rFonts w:ascii="Times New Roman" w:hAnsi="Times New Roman"/>
                <w:sz w:val="20"/>
              </w:rPr>
              <w:t>/s/ Mary Cranston   </w:t>
            </w:r>
          </w:p>
          <w:p>
            <w:pPr>
              <w:pStyle w:val="TableContents"/>
              <w:bidi w:val="0"/>
              <w:spacing w:before="0" w:after="20"/>
              <w:jc w:val="center"/>
              <w:rPr>
                <w:rFonts w:ascii="Times New Roman" w:hAnsi="Times New Roman"/>
                <w:sz w:val="20"/>
              </w:rPr>
            </w:pPr>
            <w:r>
              <w:rPr>
                <w:rFonts w:ascii="Times New Roman" w:hAnsi="Times New Roman"/>
                <w:sz w:val="20"/>
              </w:rPr>
              <w:t>Mary Cranston</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center"/>
              <w:rPr/>
            </w:pPr>
            <w:r>
              <w:rPr/>
              <w:t> </w:t>
            </w:r>
            <w:r>
              <w:rPr>
                <w:rFonts w:ascii="Times New Roman" w:hAnsi="Times New Roman"/>
                <w:sz w:val="20"/>
              </w:rPr>
              <w:t>/s/ Kelvin Davis   </w:t>
            </w:r>
          </w:p>
          <w:p>
            <w:pPr>
              <w:pStyle w:val="TableContents"/>
              <w:bidi w:val="0"/>
              <w:spacing w:before="0" w:after="20"/>
              <w:jc w:val="center"/>
              <w:rPr>
                <w:rFonts w:ascii="Times New Roman" w:hAnsi="Times New Roman"/>
                <w:sz w:val="20"/>
              </w:rPr>
            </w:pPr>
            <w:r>
              <w:rPr>
                <w:rFonts w:ascii="Times New Roman" w:hAnsi="Times New Roman"/>
                <w:sz w:val="20"/>
              </w:rPr>
              <w:t>Kelvin Davis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Director</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center"/>
              <w:rPr/>
            </w:pPr>
            <w:r>
              <w:rPr/>
              <w:t> </w:t>
            </w:r>
            <w:r>
              <w:rPr>
                <w:rFonts w:ascii="Times New Roman" w:hAnsi="Times New Roman"/>
                <w:sz w:val="20"/>
              </w:rPr>
              <w:t>/s/ Kathy Elsesser   </w:t>
            </w:r>
          </w:p>
          <w:p>
            <w:pPr>
              <w:pStyle w:val="TableContents"/>
              <w:bidi w:val="0"/>
              <w:spacing w:before="0" w:after="20"/>
              <w:jc w:val="center"/>
              <w:rPr>
                <w:rFonts w:ascii="Times New Roman" w:hAnsi="Times New Roman"/>
                <w:sz w:val="20"/>
              </w:rPr>
            </w:pPr>
            <w:r>
              <w:rPr>
                <w:rFonts w:ascii="Times New Roman" w:hAnsi="Times New Roman"/>
                <w:sz w:val="20"/>
              </w:rPr>
              <w:t>Kathy Elsesser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Director</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center"/>
              <w:rPr/>
            </w:pPr>
            <w:r>
              <w:rPr/>
              <w:t> </w:t>
            </w:r>
            <w:r>
              <w:rPr>
                <w:rFonts w:ascii="Times New Roman" w:hAnsi="Times New Roman"/>
                <w:sz w:val="20"/>
              </w:rPr>
              <w:t>/s/ William H. McRaven   </w:t>
            </w:r>
          </w:p>
          <w:p>
            <w:pPr>
              <w:pStyle w:val="TableContents"/>
              <w:bidi w:val="0"/>
              <w:spacing w:before="0" w:after="20"/>
              <w:jc w:val="center"/>
              <w:rPr>
                <w:rFonts w:ascii="Times New Roman" w:hAnsi="Times New Roman"/>
                <w:sz w:val="20"/>
              </w:rPr>
            </w:pPr>
            <w:r>
              <w:rPr>
                <w:rFonts w:ascii="Times New Roman" w:hAnsi="Times New Roman"/>
                <w:sz w:val="20"/>
              </w:rPr>
              <w:t>William H. McRaven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Director</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center"/>
              <w:rPr/>
            </w:pPr>
            <w:r>
              <w:rPr/>
              <w:t> </w:t>
            </w:r>
            <w:r>
              <w:rPr>
                <w:rFonts w:ascii="Times New Roman" w:hAnsi="Times New Roman"/>
                <w:sz w:val="20"/>
              </w:rPr>
              <w:t>/s/ Deborah M. Messemer   </w:t>
            </w:r>
          </w:p>
          <w:p>
            <w:pPr>
              <w:pStyle w:val="TableContents"/>
              <w:bidi w:val="0"/>
              <w:spacing w:before="0" w:after="20"/>
              <w:jc w:val="center"/>
              <w:rPr>
                <w:rFonts w:ascii="Times New Roman" w:hAnsi="Times New Roman"/>
                <w:sz w:val="20"/>
              </w:rPr>
            </w:pPr>
            <w:r>
              <w:rPr>
                <w:rFonts w:ascii="Times New Roman" w:hAnsi="Times New Roman"/>
                <w:sz w:val="20"/>
              </w:rPr>
              <w:t>Deborah M. Messemer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Director</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center"/>
              <w:rPr/>
            </w:pPr>
            <w:r>
              <w:rPr/>
              <w:t> </w:t>
            </w:r>
            <w:r>
              <w:rPr>
                <w:rFonts w:ascii="Times New Roman" w:hAnsi="Times New Roman"/>
                <w:sz w:val="20"/>
              </w:rPr>
              <w:t>/s/ Nehal Raj   </w:t>
            </w:r>
          </w:p>
          <w:p>
            <w:pPr>
              <w:pStyle w:val="TableContents"/>
              <w:bidi w:val="0"/>
              <w:spacing w:before="0" w:after="20"/>
              <w:jc w:val="center"/>
              <w:rPr>
                <w:rFonts w:ascii="Times New Roman" w:hAnsi="Times New Roman"/>
                <w:sz w:val="20"/>
              </w:rPr>
            </w:pPr>
            <w:r>
              <w:rPr>
                <w:rFonts w:ascii="Times New Roman" w:hAnsi="Times New Roman"/>
                <w:sz w:val="20"/>
              </w:rPr>
              <w:t>Nehal Raj</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Director</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center"/>
              <w:rPr/>
            </w:pPr>
            <w:r>
              <w:rPr/>
              <w:t> </w:t>
            </w:r>
            <w:r>
              <w:rPr>
                <w:rFonts w:ascii="Times New Roman" w:hAnsi="Times New Roman"/>
                <w:sz w:val="20"/>
              </w:rPr>
              <w:t>/s/ Jeffrey Rhodes   </w:t>
            </w:r>
          </w:p>
          <w:p>
            <w:pPr>
              <w:pStyle w:val="TableContents"/>
              <w:bidi w:val="0"/>
              <w:spacing w:before="0" w:after="20"/>
              <w:jc w:val="center"/>
              <w:rPr>
                <w:rFonts w:ascii="Times New Roman" w:hAnsi="Times New Roman"/>
                <w:sz w:val="20"/>
              </w:rPr>
            </w:pPr>
            <w:r>
              <w:rPr>
                <w:rFonts w:ascii="Times New Roman" w:hAnsi="Times New Roman"/>
                <w:sz w:val="20"/>
              </w:rPr>
              <w:t>Jeffrey Rhodes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Director</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center"/>
              <w:rPr/>
            </w:pPr>
            <w:r>
              <w:rPr/>
              <w:t> </w:t>
            </w:r>
            <w:r>
              <w:rPr>
                <w:rFonts w:ascii="Times New Roman" w:hAnsi="Times New Roman"/>
                <w:sz w:val="20"/>
              </w:rPr>
              <w:t>/s/ Ganen Sarvananthan   </w:t>
            </w:r>
          </w:p>
          <w:p>
            <w:pPr>
              <w:pStyle w:val="TableContents"/>
              <w:bidi w:val="0"/>
              <w:spacing w:before="0" w:after="20"/>
              <w:jc w:val="center"/>
              <w:rPr>
                <w:rFonts w:ascii="Times New Roman" w:hAnsi="Times New Roman"/>
                <w:sz w:val="20"/>
              </w:rPr>
            </w:pPr>
            <w:r>
              <w:rPr>
                <w:rFonts w:ascii="Times New Roman" w:hAnsi="Times New Roman"/>
                <w:sz w:val="20"/>
              </w:rPr>
              <w:t>Ganen Sarvananthan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Director</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center"/>
              <w:rPr/>
            </w:pPr>
            <w:r>
              <w:rPr/>
              <w:t> </w:t>
            </w:r>
            <w:r>
              <w:rPr>
                <w:rFonts w:ascii="Times New Roman" w:hAnsi="Times New Roman"/>
                <w:sz w:val="20"/>
              </w:rPr>
              <w:t>/s/ David Trujillo   </w:t>
            </w:r>
          </w:p>
          <w:p>
            <w:pPr>
              <w:pStyle w:val="TableContents"/>
              <w:bidi w:val="0"/>
              <w:spacing w:before="0" w:after="20"/>
              <w:jc w:val="center"/>
              <w:rPr>
                <w:rFonts w:ascii="Times New Roman" w:hAnsi="Times New Roman"/>
                <w:sz w:val="20"/>
              </w:rPr>
            </w:pPr>
            <w:r>
              <w:rPr>
                <w:rFonts w:ascii="Times New Roman" w:hAnsi="Times New Roman"/>
                <w:sz w:val="20"/>
              </w:rPr>
              <w:t>David Trujillo</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Director</w:t>
            </w:r>
          </w:p>
        </w:tc>
      </w:tr>
      <w:tr>
        <w:trPr>
          <w:trHeight w:val="24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center"/>
              <w:rPr/>
            </w:pPr>
            <w:r>
              <w:rPr/>
              <w:t> </w:t>
            </w:r>
            <w:r>
              <w:rPr>
                <w:rFonts w:ascii="Times New Roman" w:hAnsi="Times New Roman"/>
                <w:sz w:val="20"/>
              </w:rPr>
              <w:t>/s/ Anilu Vazquez-Ubarri   </w:t>
            </w:r>
          </w:p>
          <w:p>
            <w:pPr>
              <w:pStyle w:val="TableContents"/>
              <w:bidi w:val="0"/>
              <w:spacing w:before="0" w:after="20"/>
              <w:jc w:val="center"/>
              <w:rPr>
                <w:rFonts w:ascii="Times New Roman" w:hAnsi="Times New Roman"/>
                <w:sz w:val="20"/>
              </w:rPr>
            </w:pPr>
            <w:r>
              <w:rPr>
                <w:rFonts w:ascii="Times New Roman" w:hAnsi="Times New Roman"/>
                <w:sz w:val="20"/>
              </w:rPr>
              <w:t>Anilu Vazquez-Ubarri</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17" w:name="d102469dex51.htm"/>
      <w:bookmarkStart w:id="18" w:name="ksd102469dex51"/>
      <w:bookmarkEnd w:id="17"/>
      <w:bookmarkEnd w:id="18"/>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0"/>
        <w:gridCol w:w="121"/>
        <w:gridCol w:w="5494"/>
      </w:tblGrid>
      <w:tr>
        <w:trPr/>
        <w:tc>
          <w:tcPr>
            <w:tcW w:w="459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494" w:type="dxa"/>
            <w:tcBorders/>
            <w:vAlign w:val="center"/>
          </w:tcPr>
          <w:p>
            <w:pPr>
              <w:pStyle w:val="TableContents"/>
              <w:bidi w:val="0"/>
              <w:spacing w:before="0" w:after="283"/>
              <w:jc w:val="left"/>
              <w:rPr>
                <w:sz w:val="4"/>
                <w:szCs w:val="4"/>
              </w:rPr>
            </w:pPr>
            <w:r>
              <w:rPr>
                <w:sz w:val="4"/>
                <w:szCs w:val="4"/>
              </w:rPr>
            </w:r>
          </w:p>
        </w:tc>
      </w:tr>
      <w:tr>
        <w:trPr/>
        <w:tc>
          <w:tcPr>
            <w:tcW w:w="459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494" w:type="dxa"/>
            <w:tcBorders/>
          </w:tcPr>
          <w:p>
            <w:pPr>
              <w:pStyle w:val="TableContents"/>
              <w:bidi w:val="0"/>
              <w:spacing w:before="0" w:after="283"/>
              <w:jc w:val="right"/>
              <w:rPr/>
            </w:pPr>
            <w:r>
              <w:rPr/>
              <w:drawing>
                <wp:inline distT="0" distB="0" distL="0" distR="0">
                  <wp:extent cx="2793365" cy="193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2793365" cy="193675"/>
                          </a:xfrm>
                          <a:prstGeom prst="rect">
                            <a:avLst/>
                          </a:prstGeom>
                        </pic:spPr>
                      </pic:pic>
                    </a:graphicData>
                  </a:graphic>
                </wp:inline>
              </w:drawing>
            </w:r>
            <w:r>
              <w:rPr/>
              <w:t xml:space="preserve"> </w:t>
            </w:r>
          </w:p>
        </w:tc>
      </w:tr>
      <w:tr>
        <w:trPr>
          <w:trHeight w:val="240" w:hRule="atLeast"/>
        </w:trPr>
        <w:tc>
          <w:tcPr>
            <w:tcW w:w="4590" w:type="dxa"/>
            <w:tcBorders/>
            <w:vAlign w:val="center"/>
          </w:tcPr>
          <w:p>
            <w:pPr>
              <w:pStyle w:val="TableContents"/>
              <w:bidi w:val="0"/>
              <w:spacing w:before="0" w:after="283"/>
              <w:jc w:val="left"/>
              <w:rPr>
                <w:sz w:val="4"/>
                <w:szCs w:val="4"/>
              </w:rPr>
            </w:pPr>
            <w:r>
              <w:rPr>
                <w:sz w:val="4"/>
                <w:szCs w:val="4"/>
              </w:rPr>
            </w:r>
          </w:p>
        </w:tc>
        <w:tc>
          <w:tcPr>
            <w:tcW w:w="5615" w:type="dxa"/>
            <w:gridSpan w:val="2"/>
            <w:tcBorders/>
            <w:vAlign w:val="center"/>
          </w:tcPr>
          <w:p>
            <w:pPr>
              <w:pStyle w:val="TableContents"/>
              <w:bidi w:val="0"/>
              <w:spacing w:before="0" w:after="283"/>
              <w:jc w:val="left"/>
              <w:rPr>
                <w:sz w:val="4"/>
                <w:szCs w:val="4"/>
              </w:rPr>
            </w:pPr>
            <w:r>
              <w:rPr>
                <w:sz w:val="4"/>
                <w:szCs w:val="4"/>
              </w:rPr>
            </w:r>
          </w:p>
        </w:tc>
      </w:tr>
      <w:tr>
        <w:trPr/>
        <w:tc>
          <w:tcPr>
            <w:tcW w:w="459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494" w:type="dxa"/>
            <w:tcBorders/>
          </w:tcPr>
          <w:p>
            <w:pPr>
              <w:pStyle w:val="TableContents"/>
              <w:bidi w:val="0"/>
              <w:spacing w:before="0" w:after="0"/>
              <w:jc w:val="right"/>
              <w:rPr>
                <w:rFonts w:ascii="Times New Roman" w:hAnsi="Times New Roman"/>
                <w:sz w:val="20"/>
              </w:rPr>
            </w:pPr>
            <w:r>
              <w:rPr>
                <w:rFonts w:ascii="Times New Roman" w:hAnsi="Times New Roman"/>
                <w:sz w:val="20"/>
              </w:rPr>
              <w:t>767 Fifth Avenue</w:t>
            </w:r>
          </w:p>
          <w:p>
            <w:pPr>
              <w:pStyle w:val="TableContents"/>
              <w:bidi w:val="0"/>
              <w:spacing w:before="0" w:after="0"/>
              <w:jc w:val="right"/>
              <w:rPr>
                <w:rFonts w:ascii="Times New Roman" w:hAnsi="Times New Roman"/>
                <w:sz w:val="20"/>
              </w:rPr>
            </w:pPr>
            <w:r>
              <w:rPr>
                <w:rFonts w:ascii="Times New Roman" w:hAnsi="Times New Roman"/>
                <w:sz w:val="20"/>
              </w:rPr>
              <w:t>New York, NY 10153-0119</w:t>
            </w:r>
          </w:p>
          <w:p>
            <w:pPr>
              <w:pStyle w:val="TableContents"/>
              <w:bidi w:val="0"/>
              <w:spacing w:before="0" w:after="0"/>
              <w:jc w:val="right"/>
              <w:rPr>
                <w:rFonts w:ascii="Times New Roman" w:hAnsi="Times New Roman"/>
                <w:sz w:val="20"/>
              </w:rPr>
            </w:pPr>
            <w:r>
              <w:rPr>
                <w:rFonts w:ascii="Times New Roman" w:hAnsi="Times New Roman"/>
                <w:sz w:val="20"/>
              </w:rPr>
              <w:t>+1 212 310 8000 tel</w:t>
            </w:r>
          </w:p>
          <w:p>
            <w:pPr>
              <w:pStyle w:val="TableContents"/>
              <w:bidi w:val="0"/>
              <w:spacing w:before="0" w:after="20"/>
              <w:jc w:val="right"/>
              <w:rPr>
                <w:rFonts w:ascii="Times New Roman" w:hAnsi="Times New Roman"/>
                <w:sz w:val="20"/>
              </w:rPr>
            </w:pPr>
            <w:r>
              <w:rPr>
                <w:rFonts w:ascii="Times New Roman" w:hAnsi="Times New Roman"/>
                <w:sz w:val="20"/>
              </w:rPr>
              <w:t>+1 212 310 8007 fax</w:t>
            </w:r>
          </w:p>
        </w:tc>
      </w:tr>
    </w:tbl>
    <w:p>
      <w:pPr>
        <w:pStyle w:val="TextBody"/>
        <w:bidi w:val="0"/>
        <w:spacing w:before="240" w:after="0"/>
        <w:jc w:val="left"/>
        <w:rPr>
          <w:rFonts w:ascii="Times New Roman" w:hAnsi="Times New Roman"/>
          <w:sz w:val="20"/>
        </w:rPr>
      </w:pPr>
      <w:r>
        <w:rPr>
          <w:rFonts w:ascii="Times New Roman" w:hAnsi="Times New Roman"/>
          <w:sz w:val="20"/>
        </w:rPr>
        <w:t xml:space="preserve">October 16, 2026 </w:t>
      </w:r>
    </w:p>
    <w:p>
      <w:pPr>
        <w:pStyle w:val="TextBody"/>
        <w:bidi w:val="0"/>
        <w:spacing w:before="240" w:after="0"/>
        <w:jc w:val="left"/>
        <w:rPr>
          <w:rFonts w:ascii="Times New Roman" w:hAnsi="Times New Roman"/>
          <w:sz w:val="20"/>
        </w:rPr>
      </w:pPr>
      <w:r>
        <w:rPr>
          <w:rFonts w:ascii="Times New Roman" w:hAnsi="Times New Roman"/>
          <w:sz w:val="20"/>
        </w:rPr>
        <w:t xml:space="preserve">TPG Inc. </w:t>
      </w:r>
    </w:p>
    <w:p>
      <w:pPr>
        <w:pStyle w:val="TextBody"/>
        <w:bidi w:val="0"/>
        <w:spacing w:before="0" w:after="0"/>
        <w:jc w:val="left"/>
        <w:rPr>
          <w:rFonts w:ascii="Times New Roman" w:hAnsi="Times New Roman"/>
          <w:sz w:val="20"/>
        </w:rPr>
      </w:pPr>
      <w:r>
        <w:rPr>
          <w:rFonts w:ascii="Times New Roman" w:hAnsi="Times New Roman"/>
          <w:sz w:val="20"/>
        </w:rPr>
        <w:t xml:space="preserve">301 Commerce Street, Suite 3300 </w:t>
      </w:r>
    </w:p>
    <w:p>
      <w:pPr>
        <w:pStyle w:val="TextBody"/>
        <w:bidi w:val="0"/>
        <w:spacing w:before="0" w:after="0"/>
        <w:jc w:val="left"/>
        <w:rPr>
          <w:rFonts w:ascii="Times New Roman" w:hAnsi="Times New Roman"/>
          <w:sz w:val="20"/>
        </w:rPr>
      </w:pPr>
      <w:r>
        <w:rPr>
          <w:rFonts w:ascii="Times New Roman" w:hAnsi="Times New Roman"/>
          <w:sz w:val="20"/>
        </w:rPr>
        <w:t xml:space="preserve">Fort Worth, TX 76102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TPG Inc., a Delaware corporation (the “Company”), in connection with the preparation and filing with the Securities and Exchange Commission (the “Commission”) of the Company’s Registration Statement on Form S-3 filed on the date hereof (as amended, the “Registration Statement”), under the Securities Act of 1933, as amended (the “Act”), relating to the issuance from time to time of up to 202,179,591 shares of Class A common stock, par value $0.001 per share, of the Company (the “Shares”) to holders of common units (“Common Units”) of TPG Operating Group II, L.P. (“TOG”) upon exchange of up to an equal number of Common Units. </w:t>
      </w:r>
    </w:p>
    <w:p>
      <w:pPr>
        <w:pStyle w:val="TextBody"/>
        <w:bidi w:val="0"/>
        <w:spacing w:before="240" w:after="0"/>
        <w:jc w:val="left"/>
        <w:rPr>
          <w:rFonts w:ascii="Times New Roman" w:hAnsi="Times New Roman"/>
          <w:sz w:val="20"/>
        </w:rPr>
      </w:pPr>
      <w:r>
        <w:rPr>
          <w:rFonts w:ascii="Times New Roman" w:hAnsi="Times New Roman"/>
          <w:sz w:val="20"/>
        </w:rPr>
        <w:t xml:space="preserve">In so acting, we have examined originals or copies (certified or otherwise identified to our satisfaction) of (i) the Amended and Restated Certificate of Incorporation of the Company filed with the Secretary of State of the State of Delaware, incorporated by reference as Exhibit 3.1 to the Registration Statement; (ii) the Amended and Restated Bylaws of the Company, incorporated by reference as Exhibit 3.2 to the Registration Statement; (iii) the Registration Statement; (iv) the prospectus contained within the Registration Statement; (v) the Amended and Restated Exchange Agreement, dated as of November 1, 2023, among the Company, TOG, TPG OpCo Holdings, L.P., TPG Operating Group I, L.P., TPG Operating Group III, L.P. and the holders of Common Units (the “Exchange Agreement”); and (vi) such corporate records, agreements, documents and other instruments, and such certificates or comparable documents of public officials and of officers and representatives of the Company, and have made such inquiries of such officers and representatives, as we have deemed relevant and necessary as a basis for the opinion hereinafter set forth. </w:t>
      </w:r>
    </w:p>
    <w:p>
      <w:pPr>
        <w:pStyle w:val="TextBody"/>
        <w:bidi w:val="0"/>
        <w:spacing w:before="240" w:after="0"/>
        <w:jc w:val="left"/>
        <w:rPr>
          <w:rFonts w:ascii="Times New Roman" w:hAnsi="Times New Roman"/>
          <w:sz w:val="20"/>
        </w:rPr>
      </w:pPr>
      <w:r>
        <w:rPr>
          <w:rFonts w:ascii="Times New Roman" w:hAnsi="Times New Roman"/>
          <w:sz w:val="20"/>
        </w:rPr>
        <w:t xml:space="preserve">In such examination, we have assumed the genuineness of all signatures, the legal capacity of all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 that have not been independently established, we have relied upon certificates or comparable documents of officers and representatives of the Company.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50"/>
        <w:gridCol w:w="121"/>
        <w:gridCol w:w="2941"/>
        <w:gridCol w:w="121"/>
        <w:gridCol w:w="3572"/>
      </w:tblGrid>
      <w:tr>
        <w:trPr/>
        <w:tc>
          <w:tcPr>
            <w:tcW w:w="345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r>
      <w:tr>
        <w:trPr/>
        <w:tc>
          <w:tcPr>
            <w:tcW w:w="3450" w:type="dxa"/>
            <w:tcBorders/>
          </w:tcPr>
          <w:p>
            <w:pPr>
              <w:pStyle w:val="TableContents"/>
              <w:bidi w:val="0"/>
              <w:spacing w:before="0" w:after="0"/>
              <w:jc w:val="left"/>
              <w:rPr>
                <w:rFonts w:ascii="Times New Roman" w:hAnsi="Times New Roman"/>
                <w:sz w:val="20"/>
              </w:rPr>
            </w:pPr>
            <w:r>
              <w:rPr>
                <w:rFonts w:ascii="Times New Roman" w:hAnsi="Times New Roman"/>
                <w:sz w:val="20"/>
              </w:rPr>
              <w:t>October 16, 2026</w:t>
            </w:r>
          </w:p>
          <w:p>
            <w:pPr>
              <w:pStyle w:val="TableContents"/>
              <w:bidi w:val="0"/>
              <w:spacing w:before="0" w:after="20"/>
              <w:jc w:val="left"/>
              <w:rPr>
                <w:rFonts w:ascii="Times New Roman" w:hAnsi="Times New Roman"/>
                <w:sz w:val="20"/>
              </w:rPr>
            </w:pPr>
            <w:r>
              <w:rPr>
                <w:rFonts w:ascii="Times New Roman" w:hAnsi="Times New Roman"/>
                <w:sz w:val="20"/>
              </w:rPr>
              <w:t>Page 2</w:t>
            </w:r>
          </w:p>
        </w:tc>
        <w:tc>
          <w:tcPr>
            <w:tcW w:w="121"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283"/>
              <w:jc w:val="right"/>
              <w:rPr/>
            </w:pPr>
            <w:r>
              <w:rPr/>
              <w:drawing>
                <wp:inline distT="0" distB="0" distL="0" distR="0">
                  <wp:extent cx="1855470" cy="1257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9"/>
                          <a:stretch>
                            <a:fillRect/>
                          </a:stretch>
                        </pic:blipFill>
                        <pic:spPr bwMode="auto">
                          <a:xfrm>
                            <a:off x="0" y="0"/>
                            <a:ext cx="1855470" cy="12573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have also assumed that: (i) the Registration Statement and any amendments or supplements thereto (including any post-effective amendments) will have become, and remain, effective and comply with all applicable laws and no stop order suspending the Registration Statement’s effectiveness will have been issued and remain in effect, in each case, at the time the Shares are issued, as contemplated by the Registration Statement; (ii) the Company has timely filed all necessary reports pursuant to the Securities and Exchange Act of 1934, which are incorporated into the Registration Statement by reference; (iii) all Shares will be issued in compliance with applicable federal and state securities laws and in the manner stated in the Registration Statement; and (iv) the Shares will be issued and delivered in accordance with the terms of the Exchange Agreement.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qualifications stated herein, we are of the opinion that the Shares, when issued and delivered in accordance with the Registration Statement and Exchange Agreement,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herein is limited to the corporate laws of the State of Delaware, and we express no opinion as to the effect on the matters covered by this letter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letter as an exhibit to the Registration Statement and to the reference to our firm under the caption “Legal Matters” in the prospectus which is a part of the Registration Statement. In giving such consent we do not hereby admit that we are in the category of persons whose consent is required under Section 7 of the Act or the rules and regulations of the Commission.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Weil, Gotshal &amp; Manges LLP</w:t>
            </w:r>
          </w:p>
        </w:tc>
      </w:tr>
    </w:tbl>
    <w:p>
      <w:pPr>
        <w:pStyle w:val="TextBody"/>
        <w:bidi w:val="0"/>
        <w:spacing w:before="0" w:after="0"/>
        <w:jc w:val="right"/>
        <w:rPr>
          <w:rFonts w:ascii="Times New Roman" w:hAnsi="Times New Roman"/>
          <w:b/>
          <w:sz w:val="20"/>
        </w:rPr>
      </w:pPr>
      <w:bookmarkStart w:id="19" w:name="d102469dex231.htm"/>
      <w:bookmarkStart w:id="20" w:name="ksd102469dex231"/>
      <w:bookmarkEnd w:id="19"/>
      <w:bookmarkEnd w:id="20"/>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our report dated February 17, 2026, relating to the consolidated financial statements of TPG Inc. and subsidiaries (“TPG”) and the effectiveness of TPG’s internal control over financial reporting, appearing in the Annual Report on Form 10-K of TPG for the year ended December 31, 2025.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Fort Worth, Texas </w:t>
      </w:r>
    </w:p>
    <w:p>
      <w:pPr>
        <w:pStyle w:val="TextBody"/>
        <w:bidi w:val="0"/>
        <w:spacing w:before="240" w:after="0"/>
        <w:jc w:val="left"/>
        <w:rPr>
          <w:rFonts w:ascii="Times New Roman" w:hAnsi="Times New Roman"/>
          <w:sz w:val="20"/>
        </w:rPr>
      </w:pPr>
      <w:r>
        <w:rPr>
          <w:rFonts w:ascii="Times New Roman" w:hAnsi="Times New Roman"/>
          <w:sz w:val="20"/>
        </w:rPr>
        <w:t xml:space="preserve">October 16, 2026 </w:t>
      </w:r>
    </w:p>
    <w:p>
      <w:pPr>
        <w:pStyle w:val="Normal"/>
        <w:bidi w:val="0"/>
        <w:spacing w:before="0" w:after="0"/>
        <w:jc w:val="left"/>
        <w:rPr>
          <w:sz w:val="4"/>
          <w:szCs w:val="4"/>
        </w:rPr>
      </w:pPr>
      <w:r>
        <w:rPr>
          <w:sz w:val="4"/>
          <w:szCs w:val="4"/>
        </w:rPr>
      </w:r>
      <w:bookmarkStart w:id="21" w:name="d102469dexfilingfees.htm"/>
      <w:bookmarkStart w:id="22" w:name="ksd102469dexfilingfees"/>
      <w:bookmarkStart w:id="23" w:name="d102469dexfilingfees.htm"/>
      <w:bookmarkStart w:id="24" w:name="ksd102469dexfilingfees"/>
      <w:bookmarkEnd w:id="23"/>
      <w:bookmarkEnd w:id="24"/>
      <w:r>
        <w:br w:type="page"/>
      </w:r>
    </w:p>
    <w:tbl>
      <w:tblPr>
        <w:tblW w:w="3478" w:type="dxa"/>
        <w:jc w:val="left"/>
        <w:tblInd w:w="0" w:type="dxa"/>
        <w:tblLayout w:type="fixed"/>
        <w:tblCellMar>
          <w:top w:w="28" w:type="dxa"/>
          <w:left w:w="28" w:type="dxa"/>
          <w:bottom w:w="28" w:type="dxa"/>
          <w:right w:w="28" w:type="dxa"/>
        </w:tblCellMar>
      </w:tblPr>
      <w:tblGrid>
        <w:gridCol w:w="3324"/>
        <w:gridCol w:w="154"/>
      </w:tblGrid>
      <w:tr>
        <w:trPr/>
        <w:tc>
          <w:tcPr>
            <w:tcW w:w="34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24"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324" w:type="dxa"/>
            <w:tcBorders/>
            <w:vAlign w:val="center"/>
          </w:tcPr>
          <w:p>
            <w:pPr>
              <w:pStyle w:val="TableContents"/>
              <w:bidi w:val="0"/>
              <w:spacing w:before="0" w:after="283"/>
              <w:jc w:val="left"/>
              <w:rPr>
                <w:b/>
              </w:rPr>
            </w:pPr>
            <w:r>
              <w:rPr>
                <w:b/>
              </w:rPr>
              <w:t xml:space="preserve">TPG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04" w:type="dxa"/>
        <w:jc w:val="left"/>
        <w:tblInd w:w="0" w:type="dxa"/>
        <w:tblLayout w:type="fixed"/>
        <w:tblCellMar>
          <w:top w:w="28" w:type="dxa"/>
          <w:left w:w="28" w:type="dxa"/>
          <w:bottom w:w="28" w:type="dxa"/>
          <w:right w:w="28" w:type="dxa"/>
        </w:tblCellMar>
      </w:tblPr>
      <w:tblGrid>
        <w:gridCol w:w="1126"/>
        <w:gridCol w:w="226"/>
        <w:gridCol w:w="946"/>
        <w:gridCol w:w="991"/>
        <w:gridCol w:w="1276"/>
        <w:gridCol w:w="1306"/>
        <w:gridCol w:w="1156"/>
        <w:gridCol w:w="1966"/>
        <w:gridCol w:w="586"/>
        <w:gridCol w:w="1351"/>
        <w:gridCol w:w="1021"/>
        <w:gridCol w:w="1021"/>
        <w:gridCol w:w="1021"/>
        <w:gridCol w:w="141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58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41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41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411" w:type="dxa"/>
            <w:tcBorders/>
            <w:shd w:fill="E7E7E2" w:val="clear"/>
            <w:vAlign w:val="center"/>
          </w:tcPr>
          <w:p>
            <w:pPr>
              <w:pStyle w:val="TableContents"/>
              <w:bidi w:val="0"/>
              <w:spacing w:before="0" w:after="283"/>
              <w:jc w:val="left"/>
              <w:rPr>
                <w:sz w:val="4"/>
                <w:szCs w:val="4"/>
              </w:rPr>
            </w:pPr>
            <w:r>
              <w:rPr>
                <w:sz w:val="4"/>
                <w:szCs w:val="4"/>
              </w:rPr>
            </w:r>
          </w:p>
        </w:tc>
      </w:tr>
      <w:tr>
        <w:trPr/>
        <w:tc>
          <w:tcPr>
            <w:tcW w:w="154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Class A Common Stock, par value $0.001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306" w:type="dxa"/>
            <w:tcBorders/>
            <w:shd w:fill="E7E7E2" w:val="clear"/>
            <w:vAlign w:val="center"/>
          </w:tcPr>
          <w:p>
            <w:pPr>
              <w:pStyle w:val="TableContents"/>
              <w:bidi w:val="0"/>
              <w:spacing w:before="0" w:after="283"/>
              <w:jc w:val="right"/>
              <w:rPr/>
            </w:pPr>
            <w:r>
              <w:rPr/>
              <w:t xml:space="preserve">166,294,642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$ 4,493,281,226.84 </w:t>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333-275278 </w:t>
            </w:r>
          </w:p>
        </w:tc>
        <w:tc>
          <w:tcPr>
            <w:tcW w:w="1021" w:type="dxa"/>
            <w:tcBorders/>
            <w:shd w:fill="E7E7E2" w:val="clear"/>
            <w:vAlign w:val="center"/>
          </w:tcPr>
          <w:p>
            <w:pPr>
              <w:pStyle w:val="TableContents"/>
              <w:bidi w:val="0"/>
              <w:spacing w:before="0" w:after="283"/>
              <w:jc w:val="center"/>
              <w:rPr/>
            </w:pPr>
            <w:r>
              <w:rPr/>
              <w:t xml:space="preserve">11/02/2023 </w:t>
            </w:r>
          </w:p>
        </w:tc>
        <w:tc>
          <w:tcPr>
            <w:tcW w:w="1411" w:type="dxa"/>
            <w:tcBorders/>
            <w:shd w:fill="E7E7E2" w:val="clear"/>
            <w:vAlign w:val="center"/>
          </w:tcPr>
          <w:p>
            <w:pPr>
              <w:pStyle w:val="TableContents"/>
              <w:bidi w:val="0"/>
              <w:spacing w:before="0" w:after="283"/>
              <w:jc w:val="right"/>
              <w:rPr/>
            </w:pPr>
            <w:r>
              <w:rPr/>
              <w:t xml:space="preserve">$ 663,208.31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Class A Common Stock, par value $0.001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306" w:type="dxa"/>
            <w:tcBorders/>
            <w:shd w:fill="E7E7E2" w:val="clear"/>
            <w:vAlign w:val="center"/>
          </w:tcPr>
          <w:p>
            <w:pPr>
              <w:pStyle w:val="TableContents"/>
              <w:bidi w:val="0"/>
              <w:spacing w:before="0" w:after="283"/>
              <w:jc w:val="right"/>
              <w:rPr/>
            </w:pPr>
            <w:r>
              <w:rPr/>
              <w:t xml:space="preserve">35,884,949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$ 1,756,209,404.06 </w:t>
            </w:r>
          </w:p>
        </w:tc>
        <w:tc>
          <w:tcPr>
            <w:tcW w:w="58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333-282107 </w:t>
            </w:r>
          </w:p>
        </w:tc>
        <w:tc>
          <w:tcPr>
            <w:tcW w:w="1021" w:type="dxa"/>
            <w:tcBorders/>
            <w:shd w:fill="E7E7E2" w:val="clear"/>
            <w:vAlign w:val="center"/>
          </w:tcPr>
          <w:p>
            <w:pPr>
              <w:pStyle w:val="TableContents"/>
              <w:bidi w:val="0"/>
              <w:spacing w:before="0" w:after="283"/>
              <w:jc w:val="center"/>
              <w:rPr/>
            </w:pPr>
            <w:r>
              <w:rPr/>
              <w:t xml:space="preserve">09/13/2024 </w:t>
            </w:r>
          </w:p>
        </w:tc>
        <w:tc>
          <w:tcPr>
            <w:tcW w:w="1411" w:type="dxa"/>
            <w:tcBorders/>
            <w:shd w:fill="E7E7E2" w:val="clear"/>
            <w:vAlign w:val="center"/>
          </w:tcPr>
          <w:p>
            <w:pPr>
              <w:pStyle w:val="TableContents"/>
              <w:bidi w:val="0"/>
              <w:spacing w:before="0" w:after="283"/>
              <w:jc w:val="right"/>
              <w:rPr/>
            </w:pPr>
            <w:r>
              <w:rPr/>
              <w:t xml:space="preserve">$ 259,216.51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25" w:name="MaxAggtOfferingPrice"/>
            <w:bookmarkEnd w:id="25"/>
            <w:r>
              <w:rPr/>
              <w:t xml:space="preserve">$ 6,249,490,630.90 </w:t>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6" w:name="TotalFee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TotalPreviouslyPaidAmt"/>
            <w:bookmarkEnd w:id="2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TotalOffset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NetFee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Pursuant to Rule 415(a)(6) under the Securities Act of 1933, as amended (the "Securities Act"), the securities being registered hereunder include $4,493,281,226.84 aggregate principal amount of unsold securities (the "2023 Unsold Securities") previously registered under our registration statement on Form S-3 (File No. 333-275278), which was filed with the Securities and Exchange Commission and became effective on November 2, 2023 (the "2023 Registration Statement"). We paid a filing fee of $663,208.31 (calculated at the filing fee rate in effect at the time of the filing of the 2023 Registration Statement) relating to the 2023 Unsold Securities under the 2023 Registration Statement. Pursuant to Rule 415(a)(6) under the Securities Act, (i) the registration fee applicable to the 2023 Unsold Securities is being carried forward to this registration statement and will continue to be applied to the 2023 Unsold Securities, and (ii) the offering of the 2023 Unsold Securities under the 2023 Registration Statement will be deemed terminated as of the date of effectiveness of this registration statement.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Pursuant to Rule 415(a)(6) under the Securities Act, the securities being registered hereunder include $1,756,209,404.06 aggregate principal amount of unsold securities (the "2024 Unsold Securities") previously registered under our registration statement on Form S-3 (File No. 333-282107), which was filed with the Securities and Exchange Commission and became effective on September 13, 2024 (the "2024 Registration Statement"). We paid a filing fee of $259,216.51 (calculated at the filing fee rate in effect at the time of the filing of the 2024 Registration Statement) relating to the 2024 Unsold Securities under the 2024 Registration Statement. Pursuant to Rule 415(a)(6) under the Securities Act, (i) the registration fee applicable to the 2024 Unsold Securities is being carried forward to this registration statement and will continue to be applied to the 2024 Unsold Securities, and (ii) the offering of the 2024 Unsold Securities under the 2024 Registration Statement will be deemed terminated as of the date of effectiveness of this registration statement.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80661/000188066126000011/tpg-20251231.htm" TargetMode="External"/><Relationship Id="rId4" Type="http://schemas.openxmlformats.org/officeDocument/2006/relationships/hyperlink" Target="http://www.sec.gov/Archives/edgar/data/../../../ix?doc=/Archives/edgar/data/1880661/000119312526166834/d50931ddef14a.htm" TargetMode="External"/><Relationship Id="rId5" Type="http://schemas.openxmlformats.org/officeDocument/2006/relationships/hyperlink" Target="http://www.sec.gov/Archives/edgar/data/../../../ix?doc=/Archives/edgar/data/1880661/000188066126000033/tpg-20260331.htm" TargetMode="External"/><Relationship Id="rId6" Type="http://schemas.openxmlformats.org/officeDocument/2006/relationships/hyperlink" Target="http://www.sec.gov/Archives/edgar/data/../../../ix?doc=/Archives/edgar/data/1880661/000188066126000049/tpg-20260630.htm" TargetMode="External"/><Relationship Id="rId7" Type="http://schemas.openxmlformats.org/officeDocument/2006/relationships/hyperlink" Target="http://www.sec.gov/Archives/edgar/data/../../../ix?doc=/Archives/edgar/data/1880661/000119312526003402/d111964d8k.htm" TargetMode="External"/><Relationship Id="rId8" Type="http://schemas.openxmlformats.org/officeDocument/2006/relationships/hyperlink" Target="http://www.sec.gov/Archives/edgar/data/../../../ix?doc=/Archives/edgar/data/1880661/000119312526076645/d95423d8k.htm" TargetMode="External"/><Relationship Id="rId9" Type="http://schemas.openxmlformats.org/officeDocument/2006/relationships/hyperlink" Target="http://www.sec.gov/Archives/edgar/data/../../../ix?doc=/Archives/edgar/data/1880661/000188066126000019/tpg-20260408.htm" TargetMode="External"/><Relationship Id="rId10" Type="http://schemas.openxmlformats.org/officeDocument/2006/relationships/hyperlink" Target="http://www.sec.gov/Archives/edgar/data/../../../ix?doc=/Archives/edgar/data/1880661/000188066126000036/tpg-20260603.htm" TargetMode="External"/><Relationship Id="rId11" Type="http://schemas.openxmlformats.org/officeDocument/2006/relationships/hyperlink" Target="http://www.sec.gov/Archives/edgar/data/../../../ix?doc=/Archives/edgar/data/1880661/000188066126000040/tpg-20260615.htm" TargetMode="External"/><Relationship Id="rId12" Type="http://schemas.openxmlformats.org/officeDocument/2006/relationships/hyperlink" Target="http://www.sec.gov/Archives/edgar/data/../../../ix?doc=/Archives/edgar/data/1880661/000188066126000051/tpg-20260906.htm" TargetMode="External"/><Relationship Id="rId13" Type="http://schemas.openxmlformats.org/officeDocument/2006/relationships/hyperlink" Target="http://www.sec.gov/Archives/edgar/data/1880661/000188066125000014/a20241231ex41.htm" TargetMode="External"/><Relationship Id="rId14" Type="http://schemas.openxmlformats.org/officeDocument/2006/relationships/hyperlink" Target="http://www.sec.gov/Archives/edgar/data/1880661/000188066123000109/ex-31.htm" TargetMode="External"/><Relationship Id="rId15" Type="http://schemas.openxmlformats.org/officeDocument/2006/relationships/hyperlink" Target="http://www.sec.gov/Archives/edgar/data/1880661/000188066124000034/ex31-tpgincxcertificateofa.htm" TargetMode="External"/><Relationship Id="rId16" Type="http://schemas.openxmlformats.org/officeDocument/2006/relationships/hyperlink" Target="http://www.sec.gov/Archives/edgar/data/1880661/000119312523165304/d494929dex32.htm" TargetMode="External"/><Relationship Id="rId17" Type="http://schemas.openxmlformats.org/officeDocument/2006/relationships/hyperlink" Target="http://www.sec.gov/Archives/edgar/data/1880661/000188066125000014/a20241231ex41.htm" TargetMode="External"/><Relationship Id="rId18" Type="http://schemas.openxmlformats.org/officeDocument/2006/relationships/image" Target="media/image2.jpeg"/><Relationship Id="rId19" Type="http://schemas.openxmlformats.org/officeDocument/2006/relationships/image" Target="media/image3.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17862</Words>
  <Characters>93118</Characters>
  <CharactersWithSpaces>111210</CharactersWithSpaces>
  <Paragraphs>967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