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Davidson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13"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TPG Partner Holdings, 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Common Stock</w:t>
            </w:r>
            <w:r>
              <w:rPr>
                <w:rFonts w:ascii="Times;serif" w:hAnsi="Times;serif"/>
                <w:color w:val="008000"/>
                <w:position w:val="7"/>
                <w:sz w:val="16"/>
                <w:sz w:val="20"/>
                <w:shd w:fill="FFFFFF" w:val="clear"/>
              </w:rPr>
              <w:t>(2)</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633,263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5, 2026, 60 additional units ("TPH Units") of TPG Partner Holdings, L.P. ("Partner Holdings") were allocated automatically to the Reporting Person in accordance with Partner Holdings' limited partnership agreement upon their forfeiture by a former partner of Partner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Amended and Restated Exchange Agreement filed by TPG Inc. (the "Issuer") with the Securities and Exchange Commission (the "Commission") on November 2, 2023, TPH Units are ultimately exchangeable for cash or, at the Issuer's election, shares of Class A common stock of the Issuer on a one-for-one basis, subject to customary conversion rate adjustments and transfer restrictions (the "exchange consideration"). Upon an exchange of TPH Units, an equal number of Common Units of TPG Operating Group II, L.P. held by TPG Group Holdings (SBS), L.P. ("Group Holdings"), of which Partner Holdings is an indirect limited partner, are exchanged on a one-for-one basis for the exchange consideration, and an equal number of shares of Class B common stock of the Issuer also held by Group Holdings will be automatically cancelled for no additional consideration. Each share of Class B common stock entitles the holder to ten votes per share but carries no economic rights.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Jennifer Chu is signing on behalf of Mr. Davidson pursuant to the power of attorney dated August 16, 2025, which was previously filed with the Commission.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4120"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802</Words>
  <Characters>4331</Characters>
  <CharactersWithSpaces>5059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